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4FB" w:rsidRDefault="004C2F79">
      <w:pPr>
        <w:pStyle w:val="10"/>
        <w:spacing w:beforeLines="50" w:before="156" w:afterLines="50" w:after="156"/>
        <w:ind w:firstLineChars="0" w:firstLine="0"/>
        <w:contextualSpacing/>
        <w:jc w:val="distribute"/>
        <w:rPr>
          <w:rFonts w:eastAsia="黑体"/>
          <w:kern w:val="0"/>
          <w:sz w:val="48"/>
          <w:szCs w:val="48"/>
        </w:rPr>
      </w:pPr>
      <w:r>
        <w:rPr>
          <w:rFonts w:eastAsia="黑体" w:hAnsi="黑体"/>
          <w:kern w:val="0"/>
          <w:sz w:val="48"/>
          <w:szCs w:val="48"/>
        </w:rPr>
        <w:t>绿色食品生产操作规程</w:t>
      </w:r>
    </w:p>
    <w:p w:rsidR="004854FB" w:rsidRDefault="004C2F79">
      <w:pPr>
        <w:pStyle w:val="10"/>
        <w:wordWrap w:val="0"/>
        <w:spacing w:beforeLines="50" w:before="156" w:afterLines="50" w:after="156"/>
        <w:ind w:left="357" w:firstLineChars="0" w:firstLine="0"/>
        <w:contextualSpacing/>
        <w:jc w:val="right"/>
        <w:rPr>
          <w:rFonts w:ascii="黑体" w:eastAsia="黑体" w:hAnsi="黑体"/>
          <w:kern w:val="0"/>
          <w:sz w:val="28"/>
          <w:szCs w:val="28"/>
        </w:rPr>
      </w:pPr>
      <w:bookmarkStart w:id="0" w:name="_Hlk160785492"/>
      <w:r>
        <w:rPr>
          <w:rFonts w:eastAsia="黑体" w:hint="eastAsia"/>
          <w:kern w:val="0"/>
          <w:sz w:val="28"/>
          <w:szCs w:val="28"/>
        </w:rPr>
        <w:t>L</w:t>
      </w:r>
      <w:r>
        <w:rPr>
          <w:rFonts w:eastAsia="黑体"/>
          <w:kern w:val="0"/>
          <w:sz w:val="28"/>
          <w:szCs w:val="28"/>
        </w:rPr>
        <w:t xml:space="preserve">B/T </w:t>
      </w:r>
      <w:bookmarkEnd w:id="0"/>
      <w:r w:rsidR="00066736">
        <w:rPr>
          <w:rFonts w:ascii="黑体" w:eastAsia="黑体" w:hAnsi="黑体" w:cs="宋体" w:hint="eastAsia"/>
          <w:sz w:val="28"/>
          <w:szCs w:val="28"/>
        </w:rPr>
        <w:t>375</w:t>
      </w:r>
      <w:r>
        <w:rPr>
          <w:rFonts w:ascii="黑体" w:eastAsia="黑体" w:hAnsi="黑体"/>
          <w:kern w:val="0"/>
          <w:sz w:val="28"/>
          <w:szCs w:val="28"/>
        </w:rPr>
        <w:t>-202</w:t>
      </w:r>
      <w:r>
        <w:rPr>
          <w:rFonts w:ascii="黑体" w:eastAsia="黑体" w:hAnsi="黑体" w:hint="eastAsia"/>
          <w:kern w:val="0"/>
          <w:sz w:val="28"/>
          <w:szCs w:val="28"/>
        </w:rPr>
        <w:t>6</w:t>
      </w:r>
    </w:p>
    <w:p w:rsidR="004854FB" w:rsidRDefault="004C2F79">
      <w:pPr>
        <w:pStyle w:val="10"/>
        <w:spacing w:beforeLines="50" w:before="156" w:afterLines="50" w:after="156"/>
        <w:ind w:left="357" w:firstLineChars="0" w:firstLine="0"/>
        <w:contextualSpacing/>
        <w:jc w:val="right"/>
        <w:rPr>
          <w:rFonts w:eastAsia="黑体"/>
          <w:kern w:val="0"/>
          <w:sz w:val="28"/>
          <w:szCs w:val="28"/>
        </w:rPr>
      </w:pPr>
      <w:r>
        <w:rPr>
          <w:rFonts w:eastAsia="黑体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76200</wp:posOffset>
                </wp:positionV>
                <wp:extent cx="5173980" cy="0"/>
                <wp:effectExtent l="0" t="4445" r="0" b="508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7398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41BBC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7" o:spid="_x0000_s1026" type="#_x0000_t32" style="position:absolute;left:0;text-align:left;margin-left:12.6pt;margin-top:6pt;width:407.4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"/>
            </w:pict>
          </mc:Fallback>
        </mc:AlternateContent>
      </w:r>
    </w:p>
    <w:p w:rsidR="004854FB" w:rsidRDefault="004854FB">
      <w:pPr>
        <w:pStyle w:val="10"/>
        <w:spacing w:beforeLines="50" w:before="156" w:afterLines="50" w:after="156"/>
        <w:ind w:left="357" w:firstLineChars="0" w:firstLine="0"/>
        <w:contextualSpacing/>
        <w:jc w:val="center"/>
        <w:rPr>
          <w:rFonts w:eastAsia="黑体"/>
          <w:kern w:val="0"/>
          <w:sz w:val="32"/>
          <w:szCs w:val="32"/>
        </w:rPr>
      </w:pPr>
    </w:p>
    <w:p w:rsidR="004854FB" w:rsidRDefault="004854FB">
      <w:pPr>
        <w:pStyle w:val="10"/>
        <w:spacing w:beforeLines="50" w:before="156" w:afterLines="50" w:after="156"/>
        <w:ind w:left="357" w:firstLineChars="0" w:firstLine="0"/>
        <w:contextualSpacing/>
        <w:jc w:val="center"/>
        <w:rPr>
          <w:rFonts w:eastAsia="黑体"/>
          <w:kern w:val="0"/>
          <w:sz w:val="32"/>
          <w:szCs w:val="32"/>
        </w:rPr>
      </w:pPr>
    </w:p>
    <w:p w:rsidR="004854FB" w:rsidRDefault="004854FB">
      <w:pPr>
        <w:pStyle w:val="10"/>
        <w:spacing w:beforeLines="50" w:before="156" w:afterLines="50" w:after="156"/>
        <w:ind w:left="357" w:firstLineChars="0" w:firstLine="0"/>
        <w:contextualSpacing/>
        <w:jc w:val="center"/>
        <w:rPr>
          <w:rFonts w:eastAsia="黑体"/>
          <w:kern w:val="0"/>
          <w:sz w:val="32"/>
          <w:szCs w:val="32"/>
        </w:rPr>
      </w:pPr>
    </w:p>
    <w:p w:rsidR="004854FB" w:rsidRPr="006675EA" w:rsidRDefault="004854FB">
      <w:pPr>
        <w:pStyle w:val="10"/>
        <w:spacing w:beforeLines="50" w:before="156" w:afterLines="50" w:after="156"/>
        <w:ind w:left="357" w:firstLineChars="0" w:firstLine="0"/>
        <w:contextualSpacing/>
        <w:jc w:val="center"/>
        <w:rPr>
          <w:rFonts w:eastAsia="黑体"/>
          <w:kern w:val="0"/>
          <w:sz w:val="32"/>
          <w:szCs w:val="32"/>
        </w:rPr>
      </w:pPr>
    </w:p>
    <w:p w:rsidR="004854FB" w:rsidRDefault="004854FB">
      <w:pPr>
        <w:pStyle w:val="10"/>
        <w:spacing w:beforeLines="50" w:before="156" w:afterLines="50" w:after="156" w:line="360" w:lineRule="auto"/>
        <w:ind w:left="357" w:firstLineChars="0" w:firstLine="0"/>
        <w:contextualSpacing/>
        <w:jc w:val="center"/>
        <w:rPr>
          <w:rFonts w:eastAsia="黑体"/>
          <w:kern w:val="0"/>
          <w:sz w:val="18"/>
          <w:szCs w:val="18"/>
        </w:rPr>
      </w:pPr>
    </w:p>
    <w:p w:rsidR="004854FB" w:rsidRDefault="004C2F79" w:rsidP="006675EA">
      <w:pPr>
        <w:adjustRightInd w:val="0"/>
        <w:snapToGrid w:val="0"/>
        <w:spacing w:line="360" w:lineRule="auto"/>
        <w:jc w:val="center"/>
        <w:rPr>
          <w:rFonts w:ascii="黑体" w:eastAsia="黑体" w:hAnsi="黑体" w:cs="宋体"/>
          <w:sz w:val="48"/>
          <w:szCs w:val="48"/>
        </w:rPr>
      </w:pPr>
      <w:r>
        <w:rPr>
          <w:rFonts w:ascii="Times New Roman" w:eastAsia="黑体" w:hAnsi="Times New Roman" w:cs="Times New Roman" w:hint="eastAsia"/>
          <w:kern w:val="21"/>
          <w:sz w:val="52"/>
          <w:szCs w:val="52"/>
        </w:rPr>
        <w:t>绿色食品山楂制品（果糕类）</w:t>
      </w:r>
      <w:r w:rsidR="00414C94">
        <w:rPr>
          <w:rFonts w:ascii="Times New Roman" w:eastAsia="黑体" w:hAnsi="Times New Roman" w:cs="Times New Roman"/>
          <w:kern w:val="21"/>
          <w:sz w:val="52"/>
          <w:szCs w:val="52"/>
        </w:rPr>
        <w:br/>
      </w:r>
      <w:r>
        <w:rPr>
          <w:rFonts w:ascii="Times New Roman" w:eastAsia="黑体" w:hAnsi="Times New Roman" w:cs="Times New Roman" w:hint="eastAsia"/>
          <w:kern w:val="21"/>
          <w:sz w:val="52"/>
          <w:szCs w:val="52"/>
        </w:rPr>
        <w:t>加工规程</w:t>
      </w:r>
    </w:p>
    <w:p w:rsidR="004854FB" w:rsidRPr="00273DEA" w:rsidRDefault="004854FB">
      <w:pPr>
        <w:pStyle w:val="10"/>
        <w:spacing w:beforeLines="50" w:before="156" w:afterLines="50" w:after="156"/>
        <w:ind w:firstLineChars="0" w:firstLine="0"/>
        <w:contextualSpacing/>
        <w:rPr>
          <w:rFonts w:eastAsia="黑体"/>
          <w:kern w:val="0"/>
          <w:sz w:val="32"/>
          <w:szCs w:val="32"/>
        </w:rPr>
      </w:pPr>
    </w:p>
    <w:p w:rsidR="004854FB" w:rsidRDefault="004854FB">
      <w:pPr>
        <w:pStyle w:val="10"/>
        <w:spacing w:beforeLines="50" w:before="156" w:afterLines="50" w:after="156"/>
        <w:ind w:left="357" w:firstLineChars="0" w:firstLine="0"/>
        <w:contextualSpacing/>
        <w:jc w:val="center"/>
        <w:rPr>
          <w:rFonts w:eastAsia="黑体"/>
          <w:kern w:val="0"/>
          <w:sz w:val="32"/>
          <w:szCs w:val="32"/>
        </w:rPr>
      </w:pPr>
    </w:p>
    <w:p w:rsidR="00893CB7" w:rsidRDefault="00893CB7">
      <w:pPr>
        <w:pStyle w:val="10"/>
        <w:spacing w:beforeLines="50" w:before="156" w:afterLines="50" w:after="156"/>
        <w:ind w:left="357" w:firstLineChars="0" w:firstLine="0"/>
        <w:contextualSpacing/>
        <w:jc w:val="center"/>
        <w:rPr>
          <w:rFonts w:eastAsia="黑体"/>
          <w:kern w:val="0"/>
          <w:sz w:val="32"/>
          <w:szCs w:val="32"/>
        </w:rPr>
      </w:pPr>
    </w:p>
    <w:p w:rsidR="004854FB" w:rsidRDefault="004854FB">
      <w:pPr>
        <w:pStyle w:val="10"/>
        <w:spacing w:beforeLines="50" w:before="156" w:afterLines="50" w:after="156"/>
        <w:ind w:left="357" w:firstLineChars="0" w:firstLine="0"/>
        <w:contextualSpacing/>
        <w:jc w:val="center"/>
        <w:rPr>
          <w:rFonts w:eastAsia="黑体"/>
          <w:kern w:val="0"/>
          <w:sz w:val="32"/>
          <w:szCs w:val="32"/>
        </w:rPr>
      </w:pPr>
    </w:p>
    <w:p w:rsidR="004854FB" w:rsidRDefault="004854FB">
      <w:pPr>
        <w:pStyle w:val="10"/>
        <w:spacing w:beforeLines="50" w:before="156" w:afterLines="50" w:after="156"/>
        <w:ind w:left="357" w:firstLineChars="0" w:firstLine="0"/>
        <w:contextualSpacing/>
        <w:jc w:val="center"/>
        <w:rPr>
          <w:rFonts w:eastAsia="黑体"/>
          <w:kern w:val="0"/>
          <w:sz w:val="32"/>
          <w:szCs w:val="32"/>
        </w:rPr>
      </w:pPr>
    </w:p>
    <w:p w:rsidR="004854FB" w:rsidRDefault="004854FB">
      <w:pPr>
        <w:pStyle w:val="10"/>
        <w:spacing w:beforeLines="50" w:before="156" w:afterLines="50" w:after="156"/>
        <w:ind w:firstLineChars="0" w:firstLine="0"/>
        <w:contextualSpacing/>
        <w:jc w:val="center"/>
        <w:rPr>
          <w:rFonts w:eastAsia="黑体"/>
          <w:kern w:val="0"/>
          <w:sz w:val="32"/>
          <w:szCs w:val="32"/>
        </w:rPr>
      </w:pPr>
    </w:p>
    <w:p w:rsidR="004854FB" w:rsidRDefault="004854FB">
      <w:pPr>
        <w:pStyle w:val="10"/>
        <w:spacing w:beforeLines="50" w:before="156" w:afterLines="50" w:after="156"/>
        <w:ind w:firstLineChars="0" w:firstLine="0"/>
        <w:contextualSpacing/>
        <w:rPr>
          <w:rFonts w:eastAsia="黑体"/>
          <w:kern w:val="0"/>
          <w:sz w:val="32"/>
          <w:szCs w:val="32"/>
        </w:rPr>
      </w:pPr>
    </w:p>
    <w:p w:rsidR="004854FB" w:rsidRDefault="004854FB">
      <w:pPr>
        <w:pStyle w:val="10"/>
        <w:spacing w:beforeLines="50" w:before="156" w:afterLines="50" w:after="156"/>
        <w:ind w:firstLineChars="0" w:firstLine="0"/>
        <w:contextualSpacing/>
        <w:rPr>
          <w:rFonts w:eastAsia="黑体"/>
          <w:kern w:val="0"/>
          <w:sz w:val="32"/>
          <w:szCs w:val="32"/>
        </w:rPr>
      </w:pPr>
    </w:p>
    <w:p w:rsidR="004854FB" w:rsidRDefault="00066736">
      <w:pPr>
        <w:pStyle w:val="10"/>
        <w:spacing w:beforeLines="50" w:before="156" w:afterLines="50" w:after="156"/>
        <w:ind w:left="357" w:firstLineChars="0" w:firstLine="0"/>
        <w:contextualSpacing/>
        <w:jc w:val="left"/>
        <w:rPr>
          <w:rFonts w:ascii="黑体" w:eastAsia="黑体" w:hAnsi="黑体" w:cs="宋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2026-04-07</w:t>
      </w:r>
      <w:r>
        <w:rPr>
          <w:rFonts w:ascii="黑体" w:eastAsia="黑体" w:hAnsi="黑体" w:cs="黑体" w:hint="eastAsia"/>
          <w:bCs/>
          <w:sz w:val="28"/>
          <w:szCs w:val="28"/>
        </w:rPr>
        <w:t>发布</w:t>
      </w:r>
      <w:r>
        <w:rPr>
          <w:b/>
          <w:sz w:val="28"/>
          <w:szCs w:val="28"/>
        </w:rPr>
        <w:t xml:space="preserve">               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</w:t>
      </w:r>
      <w:r>
        <w:rPr>
          <w:rFonts w:ascii="黑体" w:eastAsia="黑体" w:hAnsi="黑体" w:cs="宋体" w:hint="eastAsia"/>
          <w:sz w:val="28"/>
          <w:szCs w:val="28"/>
        </w:rPr>
        <w:t>2026-05-01</w:t>
      </w:r>
      <w:r>
        <w:rPr>
          <w:rFonts w:ascii="黑体" w:eastAsia="黑体" w:hAnsi="黑体" w:cs="黑体" w:hint="eastAsia"/>
          <w:bCs/>
          <w:sz w:val="28"/>
          <w:szCs w:val="28"/>
        </w:rPr>
        <w:t>实施</w:t>
      </w:r>
    </w:p>
    <w:p w:rsidR="004854FB" w:rsidRDefault="004C2F79">
      <w:pPr>
        <w:pStyle w:val="10"/>
        <w:spacing w:beforeLines="50" w:before="156" w:afterLines="50" w:after="156"/>
        <w:ind w:left="357" w:firstLineChars="0" w:firstLine="0"/>
        <w:contextualSpacing/>
        <w:jc w:val="left"/>
        <w:rPr>
          <w:rFonts w:eastAsia="黑体"/>
          <w:kern w:val="0"/>
          <w:sz w:val="24"/>
          <w:szCs w:val="24"/>
        </w:rPr>
      </w:pPr>
      <w:r>
        <w:rPr>
          <w:rFonts w:eastAsia="黑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205740</wp:posOffset>
                </wp:positionH>
                <wp:positionV relativeFrom="paragraph">
                  <wp:posOffset>114300</wp:posOffset>
                </wp:positionV>
                <wp:extent cx="4853940" cy="15240"/>
                <wp:effectExtent l="0" t="4445" r="3810" b="889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53940" cy="152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D9538E" id="直接箭头连接符 6" o:spid="_x0000_s1026" type="#_x0000_t32" style="position:absolute;left:0;text-align:left;margin-left:16.2pt;margin-top:9pt;width:382.2pt;height:1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"/>
            </w:pict>
          </mc:Fallback>
        </mc:AlternateContent>
      </w:r>
    </w:p>
    <w:p w:rsidR="004854FB" w:rsidRDefault="004C2F79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28"/>
          <w:szCs w:val="28"/>
        </w:rPr>
        <w:sectPr w:rsidR="004854F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华文中宋" w:eastAsia="华文中宋" w:hAnsi="华文中宋" w:cs="宋体" w:hint="eastAsia"/>
          <w:spacing w:val="71"/>
          <w:kern w:val="0"/>
          <w:sz w:val="32"/>
          <w:szCs w:val="32"/>
          <w:fitText w:val="4480" w:id="780104237"/>
        </w:rPr>
        <w:t>中国绿色食品发展中</w:t>
      </w:r>
      <w:r>
        <w:rPr>
          <w:rFonts w:ascii="华文中宋" w:eastAsia="华文中宋" w:hAnsi="华文中宋" w:cs="宋体" w:hint="eastAsia"/>
          <w:spacing w:val="1"/>
          <w:kern w:val="0"/>
          <w:sz w:val="32"/>
          <w:szCs w:val="32"/>
          <w:fitText w:val="4480" w:id="780104237"/>
        </w:rPr>
        <w:t>心</w:t>
      </w:r>
      <w:r>
        <w:rPr>
          <w:rFonts w:ascii="华文中宋" w:eastAsia="华文中宋" w:hAnsi="华文中宋" w:cs="宋体" w:hint="eastAsia"/>
          <w:kern w:val="0"/>
          <w:sz w:val="32"/>
          <w:szCs w:val="32"/>
        </w:rPr>
        <w:t xml:space="preserve">  </w:t>
      </w:r>
      <w:r>
        <w:rPr>
          <w:rFonts w:ascii="黑体" w:eastAsia="黑体" w:hAnsi="黑体" w:cs="宋体" w:hint="eastAsia"/>
          <w:sz w:val="28"/>
          <w:szCs w:val="28"/>
        </w:rPr>
        <w:t>发 布</w:t>
      </w:r>
    </w:p>
    <w:p w:rsidR="004854FB" w:rsidRDefault="004854FB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4854FB" w:rsidRDefault="004C2F79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 w:hint="eastAsia"/>
          <w:sz w:val="32"/>
          <w:szCs w:val="32"/>
        </w:rPr>
        <w:t>前  言</w:t>
      </w:r>
    </w:p>
    <w:p w:rsidR="004854FB" w:rsidRDefault="004854FB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4854FB" w:rsidRDefault="004C2F79">
      <w:pPr>
        <w:pStyle w:val="10"/>
        <w:spacing w:beforeLines="50" w:before="156" w:afterLines="50" w:after="156" w:line="400" w:lineRule="atLeast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本文件由中国绿色食品发展中心</w:t>
      </w:r>
      <w:r w:rsidR="00893CB7">
        <w:rPr>
          <w:rFonts w:ascii="宋体" w:hAnsi="宋体" w:cs="宋体" w:hint="eastAsia"/>
        </w:rPr>
        <w:t>设计</w:t>
      </w:r>
      <w:r w:rsidR="00893CB7">
        <w:rPr>
          <w:rFonts w:ascii="宋体" w:hAnsi="宋体" w:cs="宋体"/>
        </w:rPr>
        <w:t>、审核</w:t>
      </w:r>
      <w:r>
        <w:rPr>
          <w:rFonts w:ascii="宋体" w:hAnsi="宋体" w:cs="宋体" w:hint="eastAsia"/>
        </w:rPr>
        <w:t>并归口。</w:t>
      </w:r>
    </w:p>
    <w:p w:rsidR="004854FB" w:rsidRDefault="004C2F79">
      <w:pPr>
        <w:pStyle w:val="10"/>
        <w:spacing w:beforeLines="50" w:before="156" w:afterLines="50" w:after="156" w:line="400" w:lineRule="atLeast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本文件起草单位:河北省农产品质</w:t>
      </w:r>
      <w:proofErr w:type="gramStart"/>
      <w:r>
        <w:rPr>
          <w:rFonts w:ascii="宋体" w:hAnsi="宋体" w:cs="宋体" w:hint="eastAsia"/>
        </w:rPr>
        <w:t>量安全</w:t>
      </w:r>
      <w:proofErr w:type="gramEnd"/>
      <w:r>
        <w:rPr>
          <w:rFonts w:ascii="宋体" w:hAnsi="宋体" w:cs="宋体" w:hint="eastAsia"/>
        </w:rPr>
        <w:t>中心、</w:t>
      </w:r>
      <w:r w:rsidR="00893CB7">
        <w:rPr>
          <w:rFonts w:ascii="宋体" w:hAnsi="宋体" w:cs="宋体" w:hint="eastAsia"/>
        </w:rPr>
        <w:t>中国</w:t>
      </w:r>
      <w:r w:rsidR="00893CB7">
        <w:rPr>
          <w:rFonts w:ascii="宋体" w:hAnsi="宋体" w:cs="宋体"/>
        </w:rPr>
        <w:t>绿色食品发展中心、</w:t>
      </w:r>
      <w:r>
        <w:rPr>
          <w:rFonts w:ascii="宋体" w:hAnsi="宋体" w:cs="宋体" w:hint="eastAsia"/>
        </w:rPr>
        <w:t>承德怡达食品股份有限公司、</w:t>
      </w:r>
      <w:r>
        <w:rPr>
          <w:rFonts w:hAnsi="宋体" w:cs="宋体" w:hint="eastAsia"/>
        </w:rPr>
        <w:t>石家庄市农产品质量检测中心、</w:t>
      </w:r>
      <w:r>
        <w:rPr>
          <w:rFonts w:ascii="宋体" w:hAnsi="宋体" w:cs="宋体" w:hint="eastAsia"/>
        </w:rPr>
        <w:t>辽宁省农产品质</w:t>
      </w:r>
      <w:proofErr w:type="gramStart"/>
      <w:r>
        <w:rPr>
          <w:rFonts w:ascii="宋体" w:hAnsi="宋体" w:cs="宋体" w:hint="eastAsia"/>
        </w:rPr>
        <w:t>量安全</w:t>
      </w:r>
      <w:proofErr w:type="gramEnd"/>
      <w:r>
        <w:rPr>
          <w:rFonts w:ascii="宋体" w:hAnsi="宋体" w:cs="宋体" w:hint="eastAsia"/>
        </w:rPr>
        <w:t>中心、山东省绿色食品发展中心、承德市农产品加工服务中心、</w:t>
      </w:r>
      <w:r w:rsidR="005242B4" w:rsidRPr="005242B4">
        <w:rPr>
          <w:rFonts w:ascii="宋体" w:hAnsi="宋体" w:cs="宋体" w:hint="eastAsia"/>
        </w:rPr>
        <w:t>承德市农林科学院</w:t>
      </w:r>
      <w:r w:rsidR="005242B4">
        <w:rPr>
          <w:rFonts w:ascii="宋体" w:hAnsi="宋体" w:cs="宋体" w:hint="eastAsia"/>
        </w:rPr>
        <w:t>、</w:t>
      </w:r>
      <w:r>
        <w:rPr>
          <w:rFonts w:ascii="宋体" w:hAnsi="宋体" w:cs="宋体" w:hint="eastAsia"/>
        </w:rPr>
        <w:t>兴隆县农业农村局、</w:t>
      </w:r>
      <w:r>
        <w:rPr>
          <w:rFonts w:hAnsi="宋体" w:cs="宋体" w:hint="eastAsia"/>
        </w:rPr>
        <w:t>唐山市食品药品综合检验检测中心、</w:t>
      </w:r>
      <w:r w:rsidR="00D441F5" w:rsidRPr="00D441F5">
        <w:rPr>
          <w:rFonts w:hAnsi="宋体" w:cs="宋体" w:hint="eastAsia"/>
        </w:rPr>
        <w:t>正定县农业农村局</w:t>
      </w:r>
      <w:r w:rsidR="00D441F5">
        <w:rPr>
          <w:rFonts w:hAnsi="宋体" w:cs="宋体" w:hint="eastAsia"/>
        </w:rPr>
        <w:t>、</w:t>
      </w:r>
      <w:r>
        <w:rPr>
          <w:rFonts w:ascii="宋体" w:hAnsi="宋体" w:cs="宋体" w:hint="eastAsia"/>
        </w:rPr>
        <w:t>石家庄市畜产品和兽药饲料质量检测中心、石家庄市</w:t>
      </w:r>
      <w:proofErr w:type="gramStart"/>
      <w:r>
        <w:rPr>
          <w:rFonts w:ascii="宋体" w:hAnsi="宋体" w:cs="宋体" w:hint="eastAsia"/>
        </w:rPr>
        <w:t>栾</w:t>
      </w:r>
      <w:proofErr w:type="gramEnd"/>
      <w:r>
        <w:rPr>
          <w:rFonts w:ascii="宋体" w:hAnsi="宋体" w:cs="宋体" w:hint="eastAsia"/>
        </w:rPr>
        <w:t>城区农业技术推广中心、承德瑞泰食品有限公司</w:t>
      </w:r>
      <w:bookmarkStart w:id="1" w:name="_GoBack"/>
      <w:bookmarkEnd w:id="1"/>
      <w:r>
        <w:rPr>
          <w:rFonts w:ascii="宋体" w:hAnsi="宋体" w:cs="宋体" w:hint="eastAsia"/>
        </w:rPr>
        <w:t>、兴隆县宏宇食品厂。</w:t>
      </w:r>
    </w:p>
    <w:p w:rsidR="004854FB" w:rsidRDefault="004C2F79">
      <w:pPr>
        <w:pStyle w:val="10"/>
        <w:spacing w:beforeLines="50" w:before="156" w:afterLines="50" w:after="156" w:line="400" w:lineRule="atLeast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本文件主要起草人：李建锋、王金华、丁永冲、</w:t>
      </w:r>
      <w:r w:rsidR="003742D3">
        <w:rPr>
          <w:rFonts w:ascii="宋体" w:hAnsi="宋体" w:cs="宋体" w:hint="eastAsia"/>
        </w:rPr>
        <w:t>宋晓</w:t>
      </w:r>
      <w:r w:rsidR="003742D3">
        <w:rPr>
          <w:rFonts w:ascii="宋体" w:hAnsi="宋体" w:cs="宋体"/>
        </w:rPr>
        <w:t>、</w:t>
      </w:r>
      <w:r>
        <w:rPr>
          <w:rFonts w:ascii="宋体" w:hAnsi="宋体" w:cs="宋体" w:hint="eastAsia"/>
        </w:rPr>
        <w:t>杜方、许欣、高远、</w:t>
      </w:r>
      <w:r w:rsidR="005242B4" w:rsidRPr="005242B4">
        <w:rPr>
          <w:rFonts w:ascii="宋体" w:hAnsi="宋体" w:cs="宋体" w:hint="eastAsia"/>
        </w:rPr>
        <w:t>陈柏华、</w:t>
      </w:r>
      <w:r>
        <w:rPr>
          <w:rFonts w:ascii="宋体" w:hAnsi="宋体" w:cs="宋体" w:hint="eastAsia"/>
        </w:rPr>
        <w:t>梁丽红、李潇祎、梁</w:t>
      </w:r>
      <w:proofErr w:type="gramStart"/>
      <w:r>
        <w:rPr>
          <w:rFonts w:ascii="宋体" w:hAnsi="宋体" w:cs="宋体" w:hint="eastAsia"/>
        </w:rPr>
        <w:t>珈</w:t>
      </w:r>
      <w:proofErr w:type="gramEnd"/>
      <w:r>
        <w:rPr>
          <w:rFonts w:ascii="宋体" w:hAnsi="宋体" w:cs="宋体" w:hint="eastAsia"/>
        </w:rPr>
        <w:t>语、侯俊杰、李瑞银、李亚聪、张静、董博钊、</w:t>
      </w:r>
      <w:r w:rsidR="006675EA">
        <w:rPr>
          <w:rFonts w:ascii="宋体" w:hAnsi="宋体" w:cs="宋体" w:hint="eastAsia"/>
        </w:rPr>
        <w:t>乔春楠</w:t>
      </w:r>
      <w:r w:rsidR="006675EA">
        <w:rPr>
          <w:rFonts w:ascii="宋体" w:hAnsi="宋体" w:cs="宋体"/>
        </w:rPr>
        <w:t>、</w:t>
      </w:r>
      <w:proofErr w:type="gramStart"/>
      <w:r w:rsidR="00D441F5" w:rsidRPr="00D441F5">
        <w:rPr>
          <w:rFonts w:ascii="宋体" w:hAnsi="宋体" w:cs="宋体" w:hint="eastAsia"/>
        </w:rPr>
        <w:t>庞</w:t>
      </w:r>
      <w:proofErr w:type="gramEnd"/>
      <w:r w:rsidR="00D441F5" w:rsidRPr="00D441F5">
        <w:rPr>
          <w:rFonts w:ascii="宋体" w:hAnsi="宋体" w:cs="宋体" w:hint="eastAsia"/>
        </w:rPr>
        <w:t>新军</w:t>
      </w:r>
      <w:r w:rsidR="00D441F5">
        <w:rPr>
          <w:rFonts w:ascii="宋体" w:hAnsi="宋体" w:cs="宋体" w:hint="eastAsia"/>
        </w:rPr>
        <w:t>、</w:t>
      </w:r>
      <w:r>
        <w:rPr>
          <w:rFonts w:ascii="宋体" w:hAnsi="宋体" w:cs="宋体" w:hint="eastAsia"/>
        </w:rPr>
        <w:t>杨宇轩、刘强、徐华苹、刘泊洋。</w:t>
      </w:r>
    </w:p>
    <w:p w:rsidR="004854FB" w:rsidRDefault="004C2F79">
      <w:pPr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br w:type="page"/>
      </w:r>
    </w:p>
    <w:p w:rsidR="004854FB" w:rsidRDefault="004C2F79" w:rsidP="00893CB7">
      <w:pPr>
        <w:adjustRightInd w:val="0"/>
        <w:snapToGrid w:val="0"/>
        <w:spacing w:beforeLines="100" w:before="312" w:afterLines="100" w:after="312" w:line="360" w:lineRule="auto"/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lastRenderedPageBreak/>
        <w:t>绿色食品山楂制品（果糕类）</w:t>
      </w:r>
      <w:r w:rsidR="00414C94">
        <w:rPr>
          <w:rFonts w:ascii="Times New Roman" w:eastAsia="黑体" w:hAnsi="Times New Roman" w:cs="Times New Roman"/>
          <w:sz w:val="32"/>
          <w:szCs w:val="32"/>
        </w:rPr>
        <w:t>加工</w:t>
      </w:r>
      <w:r>
        <w:rPr>
          <w:rFonts w:ascii="Times New Roman" w:eastAsia="黑体" w:hAnsi="Times New Roman" w:cs="Times New Roman"/>
          <w:sz w:val="32"/>
          <w:szCs w:val="32"/>
        </w:rPr>
        <w:t>规程</w:t>
      </w:r>
    </w:p>
    <w:p w:rsidR="004854FB" w:rsidRPr="00893CB7" w:rsidRDefault="00893CB7" w:rsidP="00893CB7">
      <w:pPr>
        <w:pStyle w:val="1"/>
        <w:rPr>
          <w:rFonts w:hint="default"/>
        </w:rPr>
      </w:pPr>
      <w:r>
        <w:t xml:space="preserve">1 </w:t>
      </w:r>
      <w:r w:rsidR="004C2F79">
        <w:t>范围</w:t>
      </w:r>
    </w:p>
    <w:p w:rsidR="004854FB" w:rsidRDefault="004C2F79" w:rsidP="00893CB7">
      <w:pPr>
        <w:pStyle w:val="10"/>
        <w:adjustRightInd w:val="0"/>
        <w:snapToGrid w:val="0"/>
        <w:spacing w:line="360" w:lineRule="auto"/>
        <w:rPr>
          <w:rFonts w:ascii="宋体" w:hAnsi="宋体"/>
          <w:kern w:val="0"/>
          <w:szCs w:val="20"/>
        </w:rPr>
      </w:pPr>
      <w:r>
        <w:rPr>
          <w:rFonts w:ascii="宋体" w:hAnsi="宋体" w:hint="eastAsia"/>
          <w:kern w:val="0"/>
          <w:szCs w:val="20"/>
        </w:rPr>
        <w:t>本</w:t>
      </w:r>
      <w:r w:rsidR="000913B0">
        <w:rPr>
          <w:rFonts w:ascii="宋体" w:hAnsi="宋体" w:hint="eastAsia"/>
          <w:kern w:val="0"/>
          <w:szCs w:val="20"/>
        </w:rPr>
        <w:t>文件</w:t>
      </w:r>
      <w:r>
        <w:rPr>
          <w:rFonts w:ascii="宋体" w:hAnsi="宋体" w:hint="eastAsia"/>
          <w:kern w:val="0"/>
          <w:szCs w:val="20"/>
        </w:rPr>
        <w:t>规定了绿色食品山楂制品（果糕类）的术语和定义、生产过程要求、原辅料要求、工艺流程及加工、平行生产区分管理、包装、检验、储藏与运输、生产废弃物处理和生产档案管理。</w:t>
      </w:r>
    </w:p>
    <w:p w:rsidR="004854FB" w:rsidRDefault="004C2F79" w:rsidP="00893CB7">
      <w:pPr>
        <w:pStyle w:val="10"/>
        <w:adjustRightInd w:val="0"/>
        <w:snapToGrid w:val="0"/>
        <w:spacing w:line="360" w:lineRule="auto"/>
        <w:rPr>
          <w:rFonts w:ascii="宋体" w:hAnsi="宋体"/>
          <w:kern w:val="0"/>
          <w:szCs w:val="20"/>
        </w:rPr>
      </w:pPr>
      <w:r>
        <w:rPr>
          <w:rFonts w:ascii="宋体" w:hAnsi="宋体" w:hint="eastAsia"/>
          <w:kern w:val="0"/>
          <w:szCs w:val="20"/>
        </w:rPr>
        <w:t>本</w:t>
      </w:r>
      <w:r w:rsidR="000913B0">
        <w:rPr>
          <w:rFonts w:ascii="宋体" w:hAnsi="宋体" w:hint="eastAsia"/>
          <w:kern w:val="0"/>
          <w:szCs w:val="20"/>
        </w:rPr>
        <w:t>文件</w:t>
      </w:r>
      <w:r>
        <w:rPr>
          <w:rFonts w:ascii="宋体" w:hAnsi="宋体" w:hint="eastAsia"/>
          <w:kern w:val="0"/>
          <w:szCs w:val="20"/>
        </w:rPr>
        <w:t>适用于绿色食品山楂制品（果糕类）的生产加工。</w:t>
      </w:r>
    </w:p>
    <w:p w:rsidR="004854FB" w:rsidRPr="00893CB7" w:rsidRDefault="00893CB7" w:rsidP="00893CB7">
      <w:pPr>
        <w:pStyle w:val="1"/>
        <w:rPr>
          <w:rFonts w:hint="default"/>
        </w:rPr>
      </w:pPr>
      <w:r>
        <w:t xml:space="preserve">2 </w:t>
      </w:r>
      <w:r w:rsidR="004C2F79">
        <w:t>规范性引用文件</w:t>
      </w:r>
    </w:p>
    <w:p w:rsidR="004854FB" w:rsidRDefault="004C2F79" w:rsidP="00893CB7">
      <w:pPr>
        <w:pStyle w:val="a5"/>
        <w:adjustRightInd w:val="0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bidi="ar"/>
        </w:rPr>
        <w:t>下列文件中的内容通过文中的规范性引用而构成本</w:t>
      </w:r>
      <w:r>
        <w:rPr>
          <w:rFonts w:ascii="Times New Roman" w:hAnsi="Times New Roman" w:cs="Times New Roman"/>
        </w:rPr>
        <w:t>规程</w:t>
      </w:r>
      <w:r>
        <w:rPr>
          <w:rFonts w:ascii="Times New Roman" w:hAnsi="Times New Roman" w:cs="Times New Roman"/>
          <w:lang w:bidi="ar"/>
        </w:rPr>
        <w:t>必不可少的条款。其中，注日期的引用文件，仅该日期的版本适用于本</w:t>
      </w:r>
      <w:r>
        <w:rPr>
          <w:rFonts w:ascii="Times New Roman" w:hAnsi="Times New Roman" w:cs="Times New Roman"/>
        </w:rPr>
        <w:t>规程</w:t>
      </w:r>
      <w:r>
        <w:rPr>
          <w:rFonts w:ascii="Times New Roman" w:hAnsi="Times New Roman" w:cs="Times New Roman"/>
          <w:lang w:bidi="ar"/>
        </w:rPr>
        <w:t>。不注日期的引用文件，其最新版本（包括所有的修改单）适用于本</w:t>
      </w:r>
      <w:r>
        <w:rPr>
          <w:rFonts w:ascii="Times New Roman" w:hAnsi="Times New Roman" w:cs="Times New Roman"/>
        </w:rPr>
        <w:t>规程</w:t>
      </w:r>
      <w:r>
        <w:rPr>
          <w:rFonts w:ascii="Times New Roman" w:hAnsi="Times New Roman" w:cs="Times New Roman"/>
          <w:lang w:bidi="ar"/>
        </w:rPr>
        <w:t>。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</w:rPr>
      </w:pPr>
      <w:r>
        <w:rPr>
          <w:rFonts w:ascii="宋体" w:eastAsia="宋体" w:hAnsi="宋体" w:cs="Times New Roman"/>
        </w:rPr>
        <w:t>GB/T 191 包装储运图示标志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  <w:lang w:bidi="ar"/>
        </w:rPr>
      </w:pPr>
      <w:r>
        <w:rPr>
          <w:rFonts w:asciiTheme="majorEastAsia" w:eastAsiaTheme="majorEastAsia" w:hAnsiTheme="majorEastAsia" w:cstheme="majorEastAsia" w:hint="eastAsia"/>
        </w:rPr>
        <w:t xml:space="preserve">GB 2760 </w:t>
      </w:r>
      <w:r>
        <w:rPr>
          <w:rFonts w:ascii="Times New Roman" w:eastAsia="宋体" w:hAnsi="Times New Roman" w:cs="Times New Roman" w:hint="eastAsia"/>
          <w:szCs w:val="21"/>
          <w:lang w:bidi="ar"/>
        </w:rPr>
        <w:t>食品安全国家标准</w:t>
      </w:r>
      <w:r>
        <w:rPr>
          <w:rFonts w:ascii="Times New Roman" w:eastAsia="宋体" w:hAnsi="Times New Roman" w:cs="Times New Roman" w:hint="eastAsia"/>
          <w:szCs w:val="21"/>
          <w:lang w:bidi="ar"/>
        </w:rPr>
        <w:t xml:space="preserve"> </w:t>
      </w:r>
      <w:r>
        <w:rPr>
          <w:rFonts w:ascii="Times New Roman" w:eastAsia="宋体" w:hAnsi="Times New Roman" w:cs="Times New Roman" w:hint="eastAsia"/>
          <w:szCs w:val="21"/>
          <w:lang w:bidi="ar"/>
        </w:rPr>
        <w:t>食品添加剂使用标准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</w:rPr>
      </w:pPr>
      <w:r>
        <w:rPr>
          <w:rFonts w:asciiTheme="majorEastAsia" w:eastAsiaTheme="majorEastAsia" w:hAnsiTheme="majorEastAsia" w:cstheme="majorEastAsia" w:hint="eastAsia"/>
        </w:rPr>
        <w:t>GB 5749 生活饮用水卫生标准</w:t>
      </w:r>
    </w:p>
    <w:p w:rsidR="004854FB" w:rsidRDefault="004C2F79" w:rsidP="00893CB7">
      <w:pPr>
        <w:pStyle w:val="10"/>
        <w:adjustRightInd w:val="0"/>
        <w:snapToGrid w:val="0"/>
        <w:spacing w:line="360" w:lineRule="auto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GB 7718 食品安全国家标准 预包装食品标签通则</w:t>
      </w:r>
    </w:p>
    <w:p w:rsidR="004854FB" w:rsidRDefault="004C2F79" w:rsidP="00893CB7">
      <w:pPr>
        <w:pStyle w:val="10"/>
        <w:adjustRightInd w:val="0"/>
        <w:snapToGrid w:val="0"/>
        <w:spacing w:line="360" w:lineRule="auto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GB 8956 食品安全国家标准 蜜饯生产卫生规范</w:t>
      </w:r>
    </w:p>
    <w:p w:rsidR="004854FB" w:rsidRDefault="004C2F79" w:rsidP="00893CB7">
      <w:pPr>
        <w:pStyle w:val="10"/>
        <w:adjustRightInd w:val="0"/>
        <w:snapToGrid w:val="0"/>
        <w:spacing w:line="360" w:lineRule="auto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GB 14880 食品安全国家标准 食品营养强化剂使用标准</w:t>
      </w:r>
    </w:p>
    <w:p w:rsidR="004854FB" w:rsidRDefault="004C2F79" w:rsidP="00893CB7">
      <w:pPr>
        <w:pStyle w:val="10"/>
        <w:adjustRightInd w:val="0"/>
        <w:snapToGrid w:val="0"/>
        <w:spacing w:line="360" w:lineRule="auto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GB 14881 食品安全国家标准 食品生产通用卫生规范</w:t>
      </w:r>
    </w:p>
    <w:p w:rsidR="004854FB" w:rsidRDefault="004C2F79" w:rsidP="00893CB7">
      <w:pPr>
        <w:pStyle w:val="10"/>
        <w:adjustRightInd w:val="0"/>
        <w:snapToGrid w:val="0"/>
        <w:spacing w:line="360" w:lineRule="auto"/>
      </w:pPr>
      <w:r>
        <w:rPr>
          <w:rFonts w:ascii="宋体" w:hAnsi="宋体" w:cs="宋体" w:hint="eastAsia"/>
        </w:rPr>
        <w:t>GB 28050</w:t>
      </w:r>
      <w:r>
        <w:t xml:space="preserve"> </w:t>
      </w:r>
      <w:r>
        <w:t>食品安全国家标准</w:t>
      </w:r>
      <w:r>
        <w:t xml:space="preserve"> </w:t>
      </w:r>
      <w:r>
        <w:t>预包装食品营养标签通则</w:t>
      </w:r>
    </w:p>
    <w:p w:rsidR="004854FB" w:rsidRDefault="004C2F79" w:rsidP="00893CB7">
      <w:pPr>
        <w:pStyle w:val="10"/>
        <w:adjustRightInd w:val="0"/>
        <w:snapToGrid w:val="0"/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GB 31621 食品安全国家标准 食品经营过程卫生规范</w:t>
      </w:r>
    </w:p>
    <w:p w:rsidR="004854FB" w:rsidRDefault="004C2F79" w:rsidP="00893CB7">
      <w:pPr>
        <w:pStyle w:val="10"/>
        <w:adjustRightInd w:val="0"/>
        <w:snapToGrid w:val="0"/>
        <w:spacing w:line="360" w:lineRule="auto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NY/T 391 绿色食品 产地环境质量</w:t>
      </w:r>
    </w:p>
    <w:p w:rsidR="004854FB" w:rsidRDefault="004C2F79" w:rsidP="00893CB7">
      <w:pPr>
        <w:pStyle w:val="10"/>
        <w:adjustRightInd w:val="0"/>
        <w:snapToGrid w:val="0"/>
        <w:spacing w:line="360" w:lineRule="auto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NY/T 392 绿色食品 食品添加剂使用准则</w:t>
      </w:r>
    </w:p>
    <w:p w:rsidR="004854FB" w:rsidRDefault="004C2F79" w:rsidP="00893CB7">
      <w:pPr>
        <w:pStyle w:val="10"/>
        <w:adjustRightInd w:val="0"/>
        <w:snapToGrid w:val="0"/>
        <w:spacing w:line="360" w:lineRule="auto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NY/T 422 绿色食品 食用糖</w:t>
      </w:r>
    </w:p>
    <w:p w:rsidR="004854FB" w:rsidRDefault="004C2F79" w:rsidP="00893CB7">
      <w:pPr>
        <w:pStyle w:val="10"/>
        <w:adjustRightInd w:val="0"/>
        <w:snapToGrid w:val="0"/>
        <w:spacing w:line="360" w:lineRule="auto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NY/T 436 绿色食品 蜜饯</w:t>
      </w:r>
    </w:p>
    <w:p w:rsidR="004854FB" w:rsidRDefault="004C2F79" w:rsidP="00893CB7">
      <w:pPr>
        <w:pStyle w:val="10"/>
        <w:adjustRightInd w:val="0"/>
        <w:snapToGrid w:val="0"/>
        <w:spacing w:line="360" w:lineRule="auto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NY/T 658 绿色食品 包装通用准则</w:t>
      </w:r>
    </w:p>
    <w:p w:rsidR="004854FB" w:rsidRDefault="004C2F79" w:rsidP="00893CB7">
      <w:pPr>
        <w:pStyle w:val="10"/>
        <w:adjustRightInd w:val="0"/>
        <w:snapToGrid w:val="0"/>
        <w:spacing w:line="360" w:lineRule="auto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NY/T 844 绿色食品 温带水果</w:t>
      </w:r>
    </w:p>
    <w:p w:rsidR="004854FB" w:rsidRDefault="004C2F79" w:rsidP="00893CB7">
      <w:pPr>
        <w:pStyle w:val="10"/>
        <w:adjustRightInd w:val="0"/>
        <w:snapToGrid w:val="0"/>
        <w:spacing w:line="360" w:lineRule="auto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NY/T 896 绿色食品 产品抽样准则</w:t>
      </w:r>
    </w:p>
    <w:p w:rsidR="004854FB" w:rsidRDefault="004C2F79" w:rsidP="00893CB7">
      <w:pPr>
        <w:pStyle w:val="10"/>
        <w:adjustRightInd w:val="0"/>
        <w:snapToGrid w:val="0"/>
        <w:spacing w:line="360" w:lineRule="auto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NY/T 1055 绿色食品 产品检验规则</w:t>
      </w:r>
    </w:p>
    <w:p w:rsidR="004854FB" w:rsidRDefault="004C2F79" w:rsidP="00893CB7">
      <w:pPr>
        <w:pStyle w:val="10"/>
        <w:adjustRightInd w:val="0"/>
        <w:snapToGrid w:val="0"/>
        <w:spacing w:line="360" w:lineRule="auto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NY/T 1056 绿色食品 储藏运输准则</w:t>
      </w:r>
    </w:p>
    <w:p w:rsidR="004854FB" w:rsidRPr="00893CB7" w:rsidRDefault="00893CB7" w:rsidP="00893CB7">
      <w:pPr>
        <w:pStyle w:val="1"/>
        <w:rPr>
          <w:rFonts w:hint="default"/>
        </w:rPr>
      </w:pPr>
      <w:r>
        <w:t xml:space="preserve">3 </w:t>
      </w:r>
      <w:r w:rsidR="004C2F79">
        <w:t>术语和定义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</w:pPr>
      <w:r>
        <w:rPr>
          <w:rFonts w:hint="eastAsia"/>
        </w:rPr>
        <w:t>下列术语和定义适用于本文件。</w:t>
      </w:r>
    </w:p>
    <w:p w:rsidR="004854FB" w:rsidRDefault="004C2F79" w:rsidP="00893CB7">
      <w:pPr>
        <w:pStyle w:val="2"/>
        <w:rPr>
          <w:rFonts w:ascii="Times New Roman" w:hAnsi="Times New Roman" w:hint="default"/>
          <w:szCs w:val="20"/>
        </w:rPr>
      </w:pPr>
      <w:r>
        <w:t>3.1 绿色食品山楂制品（</w:t>
      </w:r>
      <w:r>
        <w:rPr>
          <w:rFonts w:ascii="Times New Roman" w:hAnsi="Times New Roman"/>
          <w:szCs w:val="20"/>
        </w:rPr>
        <w:t>果糕类）</w:t>
      </w:r>
    </w:p>
    <w:p w:rsidR="004854FB" w:rsidRDefault="004C2F79" w:rsidP="00893CB7">
      <w:pPr>
        <w:pStyle w:val="a4"/>
        <w:adjustRightInd w:val="0"/>
        <w:snapToGrid w:val="0"/>
        <w:spacing w:line="360" w:lineRule="auto"/>
        <w:ind w:firstLineChars="200" w:firstLine="420"/>
      </w:pPr>
      <w:r>
        <w:rPr>
          <w:rFonts w:hint="eastAsia"/>
        </w:rPr>
        <w:t>以山楂为主要原料，添加或不添加其他果蔬、食用糖、食品添加剂等，加工成酱状或粉状，经成型、干燥（或不干燥）等工艺制成的获得绿色食品标志的山楂制品（果糕类），依</w:t>
      </w:r>
      <w:r>
        <w:rPr>
          <w:rFonts w:hint="eastAsia"/>
        </w:rPr>
        <w:lastRenderedPageBreak/>
        <w:t>据</w:t>
      </w:r>
      <w:r>
        <w:rPr>
          <w:rFonts w:ascii="宋体" w:eastAsia="宋体" w:hAnsi="宋体" w:cs="宋体" w:hint="eastAsia"/>
        </w:rPr>
        <w:t>NY/T 436标准划分为糕类、条（果丹皮）类、片类；</w:t>
      </w:r>
      <w:r>
        <w:rPr>
          <w:rFonts w:hint="eastAsia"/>
        </w:rPr>
        <w:t>如：山楂糕、山楂条、果丹皮、山楂片、山楂球、山楂酪等。</w:t>
      </w:r>
    </w:p>
    <w:p w:rsidR="004854FB" w:rsidRPr="00893CB7" w:rsidRDefault="00893CB7" w:rsidP="00893CB7">
      <w:pPr>
        <w:pStyle w:val="1"/>
        <w:rPr>
          <w:rFonts w:hint="default"/>
        </w:rPr>
      </w:pPr>
      <w:r>
        <w:t xml:space="preserve">4 </w:t>
      </w:r>
      <w:r w:rsidR="004C2F79">
        <w:t>生产过程要求</w:t>
      </w:r>
    </w:p>
    <w:p w:rsidR="004854FB" w:rsidRPr="00893CB7" w:rsidRDefault="004C2F79" w:rsidP="00893CB7">
      <w:pPr>
        <w:pStyle w:val="2"/>
        <w:rPr>
          <w:rFonts w:hint="default"/>
        </w:rPr>
      </w:pPr>
      <w:r>
        <w:t>4.1 选址及厂区环境</w:t>
      </w:r>
    </w:p>
    <w:p w:rsidR="004854FB" w:rsidRDefault="004C2F79" w:rsidP="00893CB7">
      <w:pPr>
        <w:pStyle w:val="10"/>
        <w:adjustRightInd w:val="0"/>
        <w:snapToGrid w:val="0"/>
        <w:spacing w:line="360" w:lineRule="auto"/>
        <w:rPr>
          <w:rFonts w:ascii="宋体" w:hAnsi="宋体" w:cs="宋体"/>
        </w:rPr>
      </w:pPr>
      <w:r>
        <w:rPr>
          <w:rFonts w:hAnsi="宋体" w:hint="eastAsia"/>
        </w:rPr>
        <w:t>绿色食品山楂制品（果糕类）生产厂区生态环境及空气质量要求应符合</w:t>
      </w:r>
      <w:r>
        <w:rPr>
          <w:rFonts w:ascii="宋体" w:hAnsi="宋体" w:cs="宋体" w:hint="eastAsia"/>
        </w:rPr>
        <w:t>NY/T 391</w:t>
      </w:r>
      <w:r>
        <w:rPr>
          <w:rFonts w:hAnsi="宋体" w:hint="eastAsia"/>
        </w:rPr>
        <w:t>的规定，选址及厂区环境应符合</w:t>
      </w:r>
      <w:r>
        <w:rPr>
          <w:rFonts w:ascii="宋体" w:hAnsi="宋体" w:cs="宋体" w:hint="eastAsia"/>
        </w:rPr>
        <w:t>GB 14881</w:t>
      </w:r>
      <w:r>
        <w:rPr>
          <w:rFonts w:hAnsi="宋体" w:hint="eastAsia"/>
        </w:rPr>
        <w:t>的规定。生产厂区</w:t>
      </w:r>
      <w:r>
        <w:rPr>
          <w:rFonts w:ascii="宋体" w:hAnsi="宋体" w:hint="eastAsia"/>
        </w:rPr>
        <w:t>应选择生态环境良好、无污染的地区，</w:t>
      </w:r>
      <w:proofErr w:type="gramStart"/>
      <w:r>
        <w:rPr>
          <w:rFonts w:ascii="宋体" w:hAnsi="宋体" w:hint="eastAsia"/>
        </w:rPr>
        <w:t>不</w:t>
      </w:r>
      <w:proofErr w:type="gramEnd"/>
      <w:r>
        <w:rPr>
          <w:rFonts w:ascii="宋体" w:hAnsi="宋体" w:hint="eastAsia"/>
        </w:rPr>
        <w:t>应选择有毒、有害物质以及粉尘、有害气体、放射性物质和其他扩散性污染源不能有效清除的地址。</w:t>
      </w:r>
      <w:proofErr w:type="gramStart"/>
      <w:r>
        <w:rPr>
          <w:rFonts w:ascii="宋体" w:hAnsi="宋体" w:cs="宋体" w:hint="eastAsia"/>
        </w:rPr>
        <w:t>不</w:t>
      </w:r>
      <w:proofErr w:type="gramEnd"/>
      <w:r>
        <w:rPr>
          <w:rFonts w:ascii="宋体" w:hAnsi="宋体" w:cs="宋体" w:hint="eastAsia"/>
        </w:rPr>
        <w:t>应选择在易发生洪涝灾害的地区,难以避开时应有必要的防范措施。厂区周围不应有存在虫害大量孳生潜在风险的场所,难以避开时应有必要的防范或消除措施。厂区应</w:t>
      </w:r>
      <w:r>
        <w:rPr>
          <w:rFonts w:ascii="宋体" w:hAnsi="宋体" w:hint="eastAsia"/>
        </w:rPr>
        <w:t>远离工矿区</w:t>
      </w:r>
      <w:r>
        <w:rPr>
          <w:rFonts w:hint="eastAsia"/>
        </w:rPr>
        <w:t>1 km</w:t>
      </w:r>
      <w:r>
        <w:rPr>
          <w:rFonts w:hint="eastAsia"/>
        </w:rPr>
        <w:t>以上</w:t>
      </w:r>
      <w:r>
        <w:rPr>
          <w:rFonts w:ascii="宋体" w:hAnsi="宋体" w:hint="eastAsia"/>
        </w:rPr>
        <w:t>、公路铁路干线和生活区</w:t>
      </w:r>
      <w:r>
        <w:rPr>
          <w:rFonts w:hint="eastAsia"/>
        </w:rPr>
        <w:t>50 m</w:t>
      </w:r>
      <w:r>
        <w:rPr>
          <w:rFonts w:hint="eastAsia"/>
        </w:rPr>
        <w:t>以上</w:t>
      </w:r>
      <w:r>
        <w:rPr>
          <w:rFonts w:ascii="宋体" w:hAnsi="宋体" w:hint="eastAsia"/>
        </w:rPr>
        <w:t>。保证产地具有可持续生产能力，不对环境或周边其他生物产生污染。</w:t>
      </w:r>
    </w:p>
    <w:p w:rsidR="004854FB" w:rsidRPr="00893CB7" w:rsidRDefault="004C2F79" w:rsidP="00893CB7">
      <w:pPr>
        <w:pStyle w:val="2"/>
        <w:rPr>
          <w:rFonts w:hint="default"/>
        </w:rPr>
      </w:pPr>
      <w:r>
        <w:t>4.2 厂房和车间</w:t>
      </w:r>
    </w:p>
    <w:p w:rsidR="004854FB" w:rsidRDefault="004C2F79" w:rsidP="000913B0">
      <w:pPr>
        <w:pStyle w:val="10"/>
        <w:adjustRightInd w:val="0"/>
        <w:snapToGrid w:val="0"/>
        <w:spacing w:line="360" w:lineRule="auto"/>
      </w:pPr>
      <w:r>
        <w:rPr>
          <w:rFonts w:ascii="宋体" w:hAnsi="宋体" w:cs="宋体" w:hint="eastAsia"/>
        </w:rPr>
        <w:t>厂房和车间的设计及布局应避免食品生产中发生交叉污染，内部结构与材料应采用适当的耐用材料建造，</w:t>
      </w:r>
      <w:r>
        <w:rPr>
          <w:rFonts w:hint="eastAsia"/>
        </w:rPr>
        <w:t>应符合</w:t>
      </w:r>
      <w:r>
        <w:rPr>
          <w:rFonts w:ascii="宋体" w:hAnsi="宋体" w:cs="宋体" w:hint="eastAsia"/>
        </w:rPr>
        <w:t>GB 8956、GB 14881</w:t>
      </w:r>
      <w:r>
        <w:rPr>
          <w:rFonts w:hint="eastAsia"/>
        </w:rPr>
        <w:t>的规定。</w:t>
      </w:r>
    </w:p>
    <w:p w:rsidR="004854FB" w:rsidRPr="00893CB7" w:rsidRDefault="004C2F79" w:rsidP="00893CB7">
      <w:pPr>
        <w:pStyle w:val="3"/>
        <w:rPr>
          <w:rFonts w:hint="default"/>
        </w:rPr>
      </w:pPr>
      <w:r>
        <w:t xml:space="preserve">4.2.1 </w:t>
      </w:r>
      <w:r>
        <w:rPr>
          <w:szCs w:val="36"/>
        </w:rPr>
        <w:t>设计和布局</w:t>
      </w:r>
    </w:p>
    <w:p w:rsidR="004854FB" w:rsidRPr="00736318" w:rsidRDefault="004C2F79" w:rsidP="00736318">
      <w:pPr>
        <w:pStyle w:val="10"/>
        <w:adjustRightInd w:val="0"/>
        <w:snapToGrid w:val="0"/>
        <w:spacing w:line="360" w:lineRule="auto"/>
        <w:rPr>
          <w:rFonts w:ascii="宋体" w:hAnsi="宋体" w:cs="宋体"/>
        </w:rPr>
      </w:pPr>
      <w:r w:rsidRPr="00736318">
        <w:rPr>
          <w:rFonts w:ascii="宋体" w:hAnsi="宋体" w:cs="宋体" w:hint="eastAsia"/>
        </w:rPr>
        <w:t>厂房和车间应根据生产工艺需要合理设计和布局,满足食品安全有关操作要求,避免食品生产中发生污染。</w:t>
      </w:r>
    </w:p>
    <w:p w:rsidR="004854FB" w:rsidRDefault="004C2F79" w:rsidP="00893CB7">
      <w:pPr>
        <w:pStyle w:val="3"/>
        <w:rPr>
          <w:rFonts w:hint="default"/>
          <w:shd w:val="clear" w:color="auto" w:fill="FFFFFF"/>
          <w:lang w:bidi="ar"/>
        </w:rPr>
      </w:pPr>
      <w:r>
        <w:rPr>
          <w:shd w:val="clear" w:color="auto" w:fill="FFFFFF"/>
          <w:lang w:bidi="ar"/>
        </w:rPr>
        <w:t>4.2.2 区域划分</w:t>
      </w:r>
    </w:p>
    <w:p w:rsidR="004854FB" w:rsidRPr="00736318" w:rsidRDefault="004C2F79" w:rsidP="00736318">
      <w:pPr>
        <w:pStyle w:val="10"/>
        <w:adjustRightInd w:val="0"/>
        <w:snapToGrid w:val="0"/>
        <w:spacing w:line="360" w:lineRule="auto"/>
        <w:rPr>
          <w:rFonts w:ascii="宋体" w:hAnsi="宋体" w:cs="宋体"/>
        </w:rPr>
      </w:pPr>
      <w:r w:rsidRPr="00736318">
        <w:rPr>
          <w:rFonts w:ascii="宋体" w:hAnsi="宋体" w:cs="宋体" w:hint="eastAsia"/>
        </w:rPr>
        <w:t>厂房和车间应根据产品特点、生产工艺、生产特性以及生产过程对清洁程度的要求合理划分作业区,并采取有效措施分离或分隔。作业区通常可划分为清洁作业区、准清洁作业区和一般作业区；或清洁作业区和一般作业区等。一般作业区应与其他作业区分隔。不同清洁程度作业区应分别设置工器具清洁消毒区域。</w:t>
      </w:r>
    </w:p>
    <w:p w:rsidR="004854FB" w:rsidRDefault="004C2F79" w:rsidP="00893CB7">
      <w:pPr>
        <w:pStyle w:val="3"/>
        <w:rPr>
          <w:rFonts w:hint="default"/>
          <w:shd w:val="clear" w:color="auto" w:fill="FFFFFF"/>
          <w:lang w:bidi="ar"/>
        </w:rPr>
      </w:pPr>
      <w:r>
        <w:rPr>
          <w:shd w:val="clear" w:color="auto" w:fill="FFFFFF"/>
          <w:lang w:bidi="ar"/>
        </w:rPr>
        <w:t>4.2.3 生产要求</w:t>
      </w:r>
    </w:p>
    <w:p w:rsidR="004854FB" w:rsidRPr="00736318" w:rsidRDefault="004C2F79" w:rsidP="00736318">
      <w:pPr>
        <w:pStyle w:val="10"/>
        <w:adjustRightInd w:val="0"/>
        <w:snapToGrid w:val="0"/>
        <w:spacing w:line="360" w:lineRule="auto"/>
        <w:rPr>
          <w:rFonts w:ascii="宋体" w:hAnsi="宋体" w:cs="宋体"/>
        </w:rPr>
      </w:pPr>
      <w:r w:rsidRPr="00736318">
        <w:rPr>
          <w:rFonts w:ascii="宋体" w:hAnsi="宋体" w:cs="宋体" w:hint="eastAsia"/>
        </w:rPr>
        <w:t>厂房的面积和空间应与生产能力相适应,便于设备安置、清洁消毒、物料存储及人员操作。厂房内设备、管道布置应便于操作、维修和清洁。</w:t>
      </w:r>
    </w:p>
    <w:p w:rsidR="004854FB" w:rsidRDefault="004C2F79" w:rsidP="00893CB7">
      <w:pPr>
        <w:pStyle w:val="3"/>
        <w:rPr>
          <w:rFonts w:ascii="宋体" w:eastAsia="宋体" w:hAnsi="宋体" w:cs="宋体" w:hint="default"/>
          <w:shd w:val="clear" w:color="auto" w:fill="FFFFFF"/>
          <w:lang w:bidi="ar"/>
        </w:rPr>
      </w:pPr>
      <w:r>
        <w:rPr>
          <w:shd w:val="clear" w:color="auto" w:fill="FFFFFF"/>
          <w:lang w:bidi="ar"/>
        </w:rPr>
        <w:t>4.2.4 检验室</w:t>
      </w:r>
    </w:p>
    <w:p w:rsidR="004854FB" w:rsidRPr="00736318" w:rsidRDefault="004C2F79" w:rsidP="00736318">
      <w:pPr>
        <w:pStyle w:val="10"/>
        <w:adjustRightInd w:val="0"/>
        <w:snapToGrid w:val="0"/>
        <w:spacing w:line="360" w:lineRule="auto"/>
        <w:rPr>
          <w:rFonts w:ascii="宋体" w:hAnsi="宋体" w:cs="宋体"/>
        </w:rPr>
      </w:pPr>
      <w:r w:rsidRPr="00736318">
        <w:rPr>
          <w:rFonts w:ascii="宋体" w:hAnsi="宋体" w:cs="宋体" w:hint="eastAsia"/>
        </w:rPr>
        <w:t>应与生产区域有效分隔。如需在生产区域实施现场检验,应根据车间环境控制要求合理设置,不应引起污染。</w:t>
      </w:r>
    </w:p>
    <w:p w:rsidR="004854FB" w:rsidRDefault="004C2F79" w:rsidP="00893CB7">
      <w:pPr>
        <w:pStyle w:val="3"/>
        <w:rPr>
          <w:rFonts w:hint="default"/>
        </w:rPr>
      </w:pPr>
      <w:r>
        <w:t>4.3 卫生要求</w:t>
      </w:r>
    </w:p>
    <w:p w:rsidR="004854FB" w:rsidRPr="00736318" w:rsidRDefault="004C2F79" w:rsidP="00736318">
      <w:pPr>
        <w:pStyle w:val="10"/>
        <w:adjustRightInd w:val="0"/>
        <w:snapToGrid w:val="0"/>
        <w:spacing w:line="360" w:lineRule="auto"/>
        <w:rPr>
          <w:rFonts w:ascii="宋体" w:hAnsi="宋体" w:cs="宋体"/>
        </w:rPr>
      </w:pPr>
      <w:r w:rsidRPr="00736318">
        <w:rPr>
          <w:rFonts w:ascii="宋体" w:hAnsi="宋体" w:cs="宋体" w:hint="eastAsia"/>
        </w:rPr>
        <w:t>应符合</w:t>
      </w:r>
      <w:r>
        <w:rPr>
          <w:rFonts w:ascii="宋体" w:hAnsi="宋体" w:cs="宋体" w:hint="eastAsia"/>
        </w:rPr>
        <w:t>GB 8956、GB 14881</w:t>
      </w:r>
      <w:r w:rsidRPr="00736318">
        <w:rPr>
          <w:rFonts w:ascii="宋体" w:hAnsi="宋体" w:cs="宋体" w:hint="eastAsia"/>
        </w:rPr>
        <w:t>的规定。所选设备设施应符合绿色食品加工要求；与被加工原料、半成品、成品直接接触的零配件必须选用无污染材料；与被加工原料、半成品、成品直接接触的部位必须严禁漏油、渗油。</w:t>
      </w:r>
    </w:p>
    <w:p w:rsidR="004854FB" w:rsidRDefault="004C2F79" w:rsidP="00893CB7">
      <w:pPr>
        <w:pStyle w:val="1"/>
        <w:rPr>
          <w:rFonts w:hint="default"/>
        </w:rPr>
      </w:pPr>
      <w:r>
        <w:t>5 原辅料要求</w:t>
      </w:r>
    </w:p>
    <w:p w:rsidR="004854FB" w:rsidRDefault="004C2F79" w:rsidP="00893CB7">
      <w:pPr>
        <w:pStyle w:val="2"/>
        <w:rPr>
          <w:rFonts w:hint="default"/>
        </w:rPr>
      </w:pPr>
      <w:r>
        <w:t>5.1 山楂</w:t>
      </w:r>
    </w:p>
    <w:p w:rsidR="004854FB" w:rsidRPr="00736318" w:rsidRDefault="004C2F79" w:rsidP="00736318">
      <w:pPr>
        <w:pStyle w:val="10"/>
        <w:adjustRightInd w:val="0"/>
        <w:snapToGrid w:val="0"/>
        <w:spacing w:line="360" w:lineRule="auto"/>
        <w:rPr>
          <w:rFonts w:ascii="宋体" w:hAnsi="宋体" w:cs="宋体"/>
        </w:rPr>
      </w:pPr>
      <w:r w:rsidRPr="00736318">
        <w:rPr>
          <w:rFonts w:ascii="宋体" w:hAnsi="宋体" w:cs="宋体" w:hint="eastAsia"/>
        </w:rPr>
        <w:lastRenderedPageBreak/>
        <w:t>山楂原料应是通过认定的绿色食品，或是按照绿色食品生产方式生产并经认定的原料基地生产的产品。</w:t>
      </w:r>
      <w:r w:rsidRPr="00736318">
        <w:rPr>
          <w:rFonts w:ascii="宋体" w:hAnsi="宋体" w:cs="宋体"/>
        </w:rPr>
        <w:t>应符合</w:t>
      </w:r>
      <w:r w:rsidRPr="00736318">
        <w:rPr>
          <w:rFonts w:ascii="宋体" w:hAnsi="宋体" w:cs="宋体" w:hint="eastAsia"/>
        </w:rPr>
        <w:t>NY/T 844</w:t>
      </w:r>
      <w:r w:rsidRPr="00736318">
        <w:rPr>
          <w:rFonts w:ascii="宋体" w:hAnsi="宋体" w:cs="宋体"/>
        </w:rPr>
        <w:t>的规定</w:t>
      </w:r>
      <w:r w:rsidRPr="00736318">
        <w:rPr>
          <w:rFonts w:ascii="宋体" w:hAnsi="宋体" w:cs="宋体" w:hint="eastAsia"/>
        </w:rPr>
        <w:t>；</w:t>
      </w:r>
      <w:r w:rsidRPr="00736318">
        <w:rPr>
          <w:rFonts w:ascii="宋体" w:hAnsi="宋体" w:cs="宋体"/>
        </w:rPr>
        <w:t>不得混入掺假的</w:t>
      </w:r>
      <w:r w:rsidRPr="00736318">
        <w:rPr>
          <w:rFonts w:ascii="宋体" w:hAnsi="宋体" w:cs="宋体" w:hint="eastAsia"/>
        </w:rPr>
        <w:t>、</w:t>
      </w:r>
      <w:r w:rsidRPr="00736318">
        <w:rPr>
          <w:rFonts w:ascii="宋体" w:hAnsi="宋体" w:cs="宋体"/>
        </w:rPr>
        <w:t>含杂质的以及品质变劣的原料</w:t>
      </w:r>
      <w:r w:rsidRPr="00736318">
        <w:rPr>
          <w:rFonts w:ascii="宋体" w:hAnsi="宋体" w:cs="宋体" w:hint="eastAsia"/>
        </w:rPr>
        <w:t>。</w:t>
      </w:r>
    </w:p>
    <w:p w:rsidR="004854FB" w:rsidRPr="00893CB7" w:rsidRDefault="004C2F79" w:rsidP="00893CB7">
      <w:pPr>
        <w:pStyle w:val="2"/>
        <w:rPr>
          <w:rFonts w:hint="default"/>
        </w:rPr>
      </w:pPr>
      <w:r>
        <w:t>5.2 其它果蔬</w:t>
      </w:r>
    </w:p>
    <w:p w:rsidR="004854FB" w:rsidRDefault="004C2F79" w:rsidP="00893CB7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</w:rPr>
      </w:pPr>
      <w:r>
        <w:rPr>
          <w:rFonts w:ascii="Times New Roman" w:eastAsia="宋体" w:hAnsi="Times New Roman" w:cs="Times New Roman" w:hint="eastAsia"/>
          <w:szCs w:val="21"/>
        </w:rPr>
        <w:t>如需添加其它果蔬的，</w:t>
      </w:r>
      <w:r w:rsidRPr="00893CB7">
        <w:rPr>
          <w:rFonts w:hint="eastAsia"/>
        </w:rPr>
        <w:t>配料</w:t>
      </w:r>
      <w:r>
        <w:rPr>
          <w:rFonts w:ascii="Times New Roman" w:eastAsia="宋体" w:hAnsi="Times New Roman" w:cs="Times New Roman" w:hint="eastAsia"/>
          <w:szCs w:val="21"/>
        </w:rPr>
        <w:t>比例</w:t>
      </w:r>
      <w:r>
        <w:rPr>
          <w:rFonts w:ascii="宋体" w:eastAsia="宋体" w:hAnsi="宋体" w:cs="宋体" w:hint="eastAsia"/>
          <w:szCs w:val="21"/>
        </w:rPr>
        <w:t>≥</w:t>
      </w:r>
      <w:r>
        <w:rPr>
          <w:rFonts w:ascii="Times New Roman" w:eastAsia="宋体" w:hAnsi="Times New Roman" w:cs="Times New Roman" w:hint="eastAsia"/>
          <w:szCs w:val="21"/>
        </w:rPr>
        <w:t>10%</w:t>
      </w:r>
      <w:r>
        <w:rPr>
          <w:rFonts w:ascii="Times New Roman" w:eastAsia="宋体" w:hAnsi="Times New Roman" w:cs="Times New Roman" w:hint="eastAsia"/>
          <w:szCs w:val="21"/>
        </w:rPr>
        <w:t>的按</w:t>
      </w:r>
      <w:r>
        <w:rPr>
          <w:rFonts w:ascii="Times New Roman" w:eastAsia="宋体" w:hAnsi="Times New Roman" w:cs="Times New Roman" w:hint="eastAsia"/>
          <w:szCs w:val="21"/>
        </w:rPr>
        <w:t>5.1</w:t>
      </w:r>
      <w:r>
        <w:rPr>
          <w:rFonts w:ascii="Times New Roman" w:eastAsia="宋体" w:hAnsi="Times New Roman" w:cs="Times New Roman" w:hint="eastAsia"/>
          <w:szCs w:val="21"/>
        </w:rPr>
        <w:t>规定执行；比例在</w:t>
      </w:r>
      <w:r>
        <w:rPr>
          <w:rFonts w:ascii="Times New Roman" w:eastAsia="宋体" w:hAnsi="Times New Roman" w:cs="Times New Roman" w:hint="eastAsia"/>
          <w:szCs w:val="21"/>
        </w:rPr>
        <w:t>2%</w:t>
      </w:r>
      <w:r>
        <w:rPr>
          <w:rFonts w:asciiTheme="majorEastAsia" w:eastAsiaTheme="majorEastAsia" w:hAnsiTheme="majorEastAsia" w:cstheme="majorEastAsia" w:hint="eastAsia"/>
          <w:szCs w:val="21"/>
        </w:rPr>
        <w:t>～</w:t>
      </w:r>
      <w:r>
        <w:rPr>
          <w:rFonts w:ascii="Times New Roman" w:eastAsia="宋体" w:hAnsi="Times New Roman" w:cs="Times New Roman" w:hint="eastAsia"/>
          <w:szCs w:val="21"/>
        </w:rPr>
        <w:t>10%</w:t>
      </w:r>
      <w:r>
        <w:rPr>
          <w:rFonts w:ascii="Times New Roman" w:eastAsia="宋体" w:hAnsi="Times New Roman" w:cs="Times New Roman" w:hint="eastAsia"/>
          <w:szCs w:val="21"/>
        </w:rPr>
        <w:t>的应有稳定来源，并有绿色食品定点检测机构或省级（含）以上检测机构出具的符合绿色食品标准要求的产品检验报告；比例</w:t>
      </w:r>
      <w:r>
        <w:rPr>
          <w:rFonts w:ascii="宋体" w:eastAsia="宋体" w:hAnsi="宋体" w:cs="宋体" w:hint="eastAsia"/>
          <w:szCs w:val="21"/>
        </w:rPr>
        <w:t>≤2%的，应有固定来源，符合食品安全国家标准要求。</w:t>
      </w:r>
    </w:p>
    <w:p w:rsidR="004854FB" w:rsidRPr="00893CB7" w:rsidRDefault="004C2F79" w:rsidP="00893CB7">
      <w:pPr>
        <w:pStyle w:val="2"/>
        <w:rPr>
          <w:rFonts w:hint="default"/>
        </w:rPr>
      </w:pPr>
      <w:r>
        <w:t>5.3 食用糖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</w:pPr>
      <w:r>
        <w:rPr>
          <w:rFonts w:hint="eastAsia"/>
        </w:rPr>
        <w:t>应是通过认定的绿色食品，并符合</w:t>
      </w:r>
      <w:r>
        <w:rPr>
          <w:rFonts w:asciiTheme="majorEastAsia" w:eastAsiaTheme="majorEastAsia" w:hAnsiTheme="majorEastAsia" w:cstheme="majorEastAsia" w:hint="eastAsia"/>
        </w:rPr>
        <w:t>NY/T 422的规定。</w:t>
      </w:r>
    </w:p>
    <w:p w:rsidR="004854FB" w:rsidRPr="00893CB7" w:rsidRDefault="004C2F79" w:rsidP="00893CB7">
      <w:pPr>
        <w:pStyle w:val="2"/>
        <w:rPr>
          <w:rFonts w:hint="default"/>
        </w:rPr>
      </w:pPr>
      <w:r>
        <w:t>5.4</w:t>
      </w:r>
      <w:r w:rsidR="000913B0">
        <w:rPr>
          <w:rFonts w:hint="default"/>
        </w:rPr>
        <w:t xml:space="preserve"> </w:t>
      </w:r>
      <w:r>
        <w:t>食品添加剂和食品营养强化剂</w:t>
      </w:r>
    </w:p>
    <w:p w:rsidR="004854FB" w:rsidRDefault="004C2F79" w:rsidP="00893CB7">
      <w:pPr>
        <w:tabs>
          <w:tab w:val="left" w:pos="2160"/>
        </w:tabs>
        <w:autoSpaceDE w:val="0"/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应符合</w:t>
      </w:r>
      <w:r>
        <w:rPr>
          <w:rFonts w:ascii="宋体" w:eastAsia="宋体" w:hAnsi="宋体" w:cs="宋体" w:hint="eastAsia"/>
          <w:szCs w:val="21"/>
        </w:rPr>
        <w:t>NY/T 3</w:t>
      </w:r>
      <w:r>
        <w:rPr>
          <w:rFonts w:asciiTheme="minorEastAsia" w:hAnsiTheme="minorEastAsia" w:cstheme="minorEastAsia" w:hint="eastAsia"/>
          <w:szCs w:val="21"/>
        </w:rPr>
        <w:t>92、GB 2760 和GB 14880</w:t>
      </w:r>
      <w:r>
        <w:rPr>
          <w:rFonts w:ascii="Times New Roman" w:eastAsia="宋体" w:hAnsi="Times New Roman" w:cs="Times New Roman" w:hint="eastAsia"/>
          <w:szCs w:val="21"/>
        </w:rPr>
        <w:t>的规定；优先选用天然食品添加剂，可使用的人工合成食品添加剂包括柠檬酸、山梨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酸及其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钾盐、木糖醇、焦亚硫酸钠、胭脂红等。</w:t>
      </w:r>
      <w:r>
        <w:rPr>
          <w:rFonts w:ascii="Times New Roman" w:eastAsia="宋体" w:hAnsi="Times New Roman" w:cs="Times New Roman" w:hint="eastAsia"/>
          <w:szCs w:val="21"/>
          <w:lang w:val="zh-CN"/>
        </w:rPr>
        <w:t>不应使用的</w:t>
      </w:r>
      <w:r>
        <w:rPr>
          <w:rFonts w:ascii="Times New Roman" w:eastAsia="宋体" w:hAnsi="Times New Roman" w:cs="Times New Roman" w:hint="eastAsia"/>
          <w:szCs w:val="21"/>
        </w:rPr>
        <w:t>人工合成</w:t>
      </w:r>
      <w:r>
        <w:rPr>
          <w:rFonts w:ascii="Times New Roman" w:eastAsia="宋体" w:hAnsi="Times New Roman" w:cs="Times New Roman" w:hint="eastAsia"/>
          <w:szCs w:val="21"/>
          <w:lang w:val="zh-CN"/>
        </w:rPr>
        <w:t>食品添加剂</w:t>
      </w:r>
      <w:r>
        <w:rPr>
          <w:rFonts w:ascii="Times New Roman" w:eastAsia="宋体" w:hAnsi="Times New Roman" w:cs="Times New Roman" w:hint="eastAsia"/>
          <w:szCs w:val="21"/>
        </w:rPr>
        <w:t>包括苯甲酸及其钠盐、糖精钠、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环己基氨基磺酸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钠（又名甜蜜素）等，其他品种</w:t>
      </w:r>
      <w:r>
        <w:rPr>
          <w:rFonts w:ascii="Times New Roman" w:eastAsia="宋体" w:hAnsi="Times New Roman" w:cs="Times New Roman" w:hint="eastAsia"/>
          <w:szCs w:val="21"/>
          <w:lang w:val="zh-CN"/>
        </w:rPr>
        <w:t>应符合</w:t>
      </w:r>
      <w:r>
        <w:rPr>
          <w:rFonts w:ascii="Times New Roman" w:eastAsia="宋体" w:hAnsi="Times New Roman" w:cs="Times New Roman" w:hint="eastAsia"/>
          <w:szCs w:val="21"/>
        </w:rPr>
        <w:t>NY/T 392</w:t>
      </w:r>
      <w:r>
        <w:rPr>
          <w:rFonts w:ascii="Times New Roman" w:eastAsia="宋体" w:hAnsi="Times New Roman" w:cs="Times New Roman" w:hint="eastAsia"/>
          <w:szCs w:val="21"/>
        </w:rPr>
        <w:t>的规定。</w:t>
      </w:r>
    </w:p>
    <w:p w:rsidR="004854FB" w:rsidRPr="00893CB7" w:rsidRDefault="004C2F79" w:rsidP="00893CB7">
      <w:pPr>
        <w:pStyle w:val="2"/>
        <w:rPr>
          <w:rFonts w:hint="default"/>
        </w:rPr>
      </w:pPr>
      <w:r>
        <w:t>5.5 加工用水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应符合</w:t>
      </w:r>
      <w:r>
        <w:rPr>
          <w:rFonts w:asciiTheme="majorEastAsia" w:eastAsiaTheme="majorEastAsia" w:hAnsiTheme="majorEastAsia" w:cstheme="majorEastAsia" w:hint="eastAsia"/>
        </w:rPr>
        <w:t>GB 5749以及</w:t>
      </w:r>
      <w:r>
        <w:rPr>
          <w:rFonts w:asciiTheme="minorEastAsia" w:hAnsiTheme="minorEastAsia" w:cstheme="minorEastAsia" w:hint="eastAsia"/>
          <w:szCs w:val="21"/>
        </w:rPr>
        <w:t>NY/T 391</w:t>
      </w:r>
      <w:r>
        <w:rPr>
          <w:rFonts w:ascii="Times New Roman" w:eastAsia="宋体" w:hAnsi="Times New Roman" w:cs="Times New Roman"/>
          <w:szCs w:val="21"/>
        </w:rPr>
        <w:t>的规定。</w:t>
      </w:r>
      <w:r>
        <w:rPr>
          <w:rFonts w:ascii="Times New Roman" w:eastAsia="宋体" w:hAnsi="Times New Roman" w:cs="Times New Roman" w:hint="eastAsia"/>
          <w:szCs w:val="21"/>
        </w:rPr>
        <w:t>水源来自于公共供水系统或经净化的非公共供水系统的地下水、地表水等。</w:t>
      </w:r>
    </w:p>
    <w:p w:rsidR="004854FB" w:rsidRDefault="004C2F79" w:rsidP="00893CB7">
      <w:pPr>
        <w:pStyle w:val="2"/>
        <w:rPr>
          <w:rFonts w:ascii="宋体" w:hAnsi="宋体" w:hint="default"/>
        </w:rPr>
      </w:pPr>
      <w:r>
        <w:rPr>
          <w:rFonts w:cs="黑体"/>
          <w:szCs w:val="21"/>
        </w:rPr>
        <w:t>5.6</w:t>
      </w:r>
      <w:r>
        <w:t xml:space="preserve"> 原辅料的采购、运输、验收、储存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黑体" w:eastAsia="黑体" w:hAnsi="黑体" w:cs="黑体"/>
          <w:szCs w:val="21"/>
        </w:rPr>
      </w:pPr>
      <w:r>
        <w:rPr>
          <w:rFonts w:ascii="宋体" w:hAnsi="宋体" w:hint="eastAsia"/>
        </w:rPr>
        <w:t>应按照GB 31621规定执行。</w:t>
      </w:r>
    </w:p>
    <w:p w:rsidR="004854FB" w:rsidRPr="00893CB7" w:rsidRDefault="004C2F79" w:rsidP="00893CB7">
      <w:pPr>
        <w:pStyle w:val="1"/>
        <w:rPr>
          <w:rFonts w:hint="default"/>
        </w:rPr>
      </w:pPr>
      <w:r>
        <w:t>6 工艺流程及加工</w:t>
      </w:r>
    </w:p>
    <w:p w:rsidR="004854FB" w:rsidRDefault="004C2F79" w:rsidP="00893CB7">
      <w:pPr>
        <w:pStyle w:val="2"/>
        <w:rPr>
          <w:rFonts w:hint="default"/>
        </w:rPr>
      </w:pPr>
      <w:r>
        <w:t>6.1 工艺流程</w:t>
      </w:r>
    </w:p>
    <w:p w:rsidR="004854FB" w:rsidRPr="00893CB7" w:rsidRDefault="004C2F79" w:rsidP="00893CB7">
      <w:pPr>
        <w:pStyle w:val="3"/>
        <w:rPr>
          <w:rFonts w:hint="default"/>
        </w:rPr>
      </w:pPr>
      <w:r>
        <w:t>6.1.1 糕类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选果</w:t>
      </w:r>
      <w:r>
        <w:rPr>
          <w:rFonts w:ascii="Times New Roman" w:eastAsia="宋体" w:hAnsi="Times New Roman" w:cs="Times New Roman"/>
          <w:szCs w:val="21"/>
        </w:rPr>
        <w:t>→</w:t>
      </w:r>
      <w:r>
        <w:rPr>
          <w:rFonts w:ascii="Times New Roman" w:eastAsia="宋体" w:hAnsi="Times New Roman" w:cs="Times New Roman" w:hint="eastAsia"/>
          <w:szCs w:val="21"/>
        </w:rPr>
        <w:t>洗果</w:t>
      </w:r>
      <w:r>
        <w:rPr>
          <w:rFonts w:ascii="Times New Roman" w:eastAsia="宋体" w:hAnsi="Times New Roman" w:cs="Times New Roman"/>
          <w:szCs w:val="21"/>
        </w:rPr>
        <w:t>→</w:t>
      </w:r>
      <w:r>
        <w:rPr>
          <w:rFonts w:ascii="Times New Roman" w:eastAsia="宋体" w:hAnsi="Times New Roman" w:cs="Times New Roman" w:hint="eastAsia"/>
          <w:szCs w:val="21"/>
        </w:rPr>
        <w:t>配料</w:t>
      </w:r>
      <w:r>
        <w:rPr>
          <w:rFonts w:ascii="Times New Roman" w:eastAsia="宋体" w:hAnsi="Times New Roman" w:cs="Times New Roman"/>
          <w:szCs w:val="21"/>
        </w:rPr>
        <w:t>→</w:t>
      </w:r>
      <w:r>
        <w:rPr>
          <w:rFonts w:ascii="Times New Roman" w:eastAsia="宋体" w:hAnsi="Times New Roman" w:cs="Times New Roman" w:hint="eastAsia"/>
          <w:szCs w:val="21"/>
        </w:rPr>
        <w:t>煮制</w:t>
      </w:r>
      <w:r>
        <w:rPr>
          <w:rFonts w:ascii="Times New Roman" w:eastAsia="宋体" w:hAnsi="Times New Roman" w:cs="Times New Roman"/>
          <w:szCs w:val="21"/>
        </w:rPr>
        <w:t>→</w:t>
      </w:r>
      <w:r>
        <w:rPr>
          <w:rFonts w:ascii="Times New Roman" w:eastAsia="宋体" w:hAnsi="Times New Roman" w:cs="Times New Roman" w:hint="eastAsia"/>
          <w:szCs w:val="21"/>
        </w:rPr>
        <w:t>打浆（去渣）</w:t>
      </w:r>
      <w:r>
        <w:rPr>
          <w:rFonts w:ascii="Times New Roman" w:eastAsia="宋体" w:hAnsi="Times New Roman" w:cs="Times New Roman"/>
          <w:szCs w:val="21"/>
        </w:rPr>
        <w:t>→</w:t>
      </w:r>
      <w:r>
        <w:rPr>
          <w:rFonts w:ascii="Times New Roman" w:eastAsia="宋体" w:hAnsi="Times New Roman" w:cs="Times New Roman" w:hint="eastAsia"/>
          <w:szCs w:val="21"/>
        </w:rPr>
        <w:t>搅拌</w:t>
      </w:r>
      <w:r>
        <w:rPr>
          <w:rFonts w:ascii="Times New Roman" w:eastAsia="宋体" w:hAnsi="Times New Roman" w:cs="Times New Roman"/>
          <w:szCs w:val="21"/>
        </w:rPr>
        <w:t>→</w:t>
      </w:r>
      <w:r>
        <w:rPr>
          <w:rFonts w:ascii="Times New Roman" w:eastAsia="宋体" w:hAnsi="Times New Roman" w:cs="Times New Roman" w:hint="eastAsia"/>
          <w:szCs w:val="21"/>
        </w:rPr>
        <w:t>成型</w:t>
      </w:r>
      <w:r>
        <w:rPr>
          <w:rFonts w:ascii="Times New Roman" w:eastAsia="宋体" w:hAnsi="Times New Roman" w:cs="Times New Roman"/>
          <w:szCs w:val="21"/>
        </w:rPr>
        <w:t>→</w:t>
      </w:r>
      <w:r>
        <w:rPr>
          <w:rFonts w:ascii="Times New Roman" w:eastAsia="宋体" w:hAnsi="Times New Roman" w:cs="Times New Roman" w:hint="eastAsia"/>
          <w:szCs w:val="21"/>
        </w:rPr>
        <w:t>干燥（或不干燥）</w:t>
      </w:r>
      <w:r>
        <w:rPr>
          <w:rFonts w:ascii="Times New Roman" w:eastAsia="宋体" w:hAnsi="Times New Roman" w:cs="Times New Roman"/>
          <w:szCs w:val="21"/>
        </w:rPr>
        <w:t>→</w:t>
      </w:r>
      <w:r>
        <w:rPr>
          <w:rFonts w:ascii="Times New Roman" w:eastAsia="宋体" w:hAnsi="Times New Roman" w:cs="Times New Roman"/>
          <w:szCs w:val="21"/>
        </w:rPr>
        <w:t>包装</w:t>
      </w:r>
      <w:r>
        <w:rPr>
          <w:rFonts w:hint="eastAsia"/>
        </w:rPr>
        <w:t>→成品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4854FB" w:rsidRDefault="004C2F79" w:rsidP="00893CB7">
      <w:pPr>
        <w:pStyle w:val="3"/>
        <w:rPr>
          <w:rFonts w:hint="default"/>
        </w:rPr>
      </w:pPr>
      <w:r>
        <w:t>6.1.2 条（果丹皮）类、片类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选果</w:t>
      </w:r>
      <w:r>
        <w:rPr>
          <w:rFonts w:ascii="Times New Roman" w:eastAsia="宋体" w:hAnsi="Times New Roman" w:cs="Times New Roman"/>
          <w:szCs w:val="21"/>
        </w:rPr>
        <w:t>→</w:t>
      </w:r>
      <w:r>
        <w:rPr>
          <w:rFonts w:ascii="Times New Roman" w:eastAsia="宋体" w:hAnsi="Times New Roman" w:cs="Times New Roman" w:hint="eastAsia"/>
          <w:szCs w:val="21"/>
        </w:rPr>
        <w:t>洗果</w:t>
      </w:r>
      <w:r>
        <w:rPr>
          <w:rFonts w:ascii="Times New Roman" w:eastAsia="宋体" w:hAnsi="Times New Roman" w:cs="Times New Roman"/>
          <w:szCs w:val="21"/>
        </w:rPr>
        <w:t>→</w:t>
      </w:r>
      <w:r>
        <w:rPr>
          <w:rFonts w:ascii="Times New Roman" w:eastAsia="宋体" w:hAnsi="Times New Roman" w:cs="Times New Roman" w:hint="eastAsia"/>
          <w:szCs w:val="21"/>
        </w:rPr>
        <w:t>配料</w:t>
      </w:r>
      <w:r>
        <w:rPr>
          <w:rFonts w:ascii="Times New Roman" w:eastAsia="宋体" w:hAnsi="Times New Roman" w:cs="Times New Roman"/>
          <w:szCs w:val="21"/>
        </w:rPr>
        <w:t>→</w:t>
      </w:r>
      <w:r>
        <w:rPr>
          <w:rFonts w:ascii="Times New Roman" w:eastAsia="宋体" w:hAnsi="Times New Roman" w:cs="Times New Roman" w:hint="eastAsia"/>
          <w:szCs w:val="21"/>
        </w:rPr>
        <w:t>煮制</w:t>
      </w:r>
      <w:r>
        <w:rPr>
          <w:rFonts w:ascii="Times New Roman" w:eastAsia="宋体" w:hAnsi="Times New Roman" w:cs="Times New Roman"/>
          <w:szCs w:val="21"/>
        </w:rPr>
        <w:t>→</w:t>
      </w:r>
      <w:r>
        <w:rPr>
          <w:rFonts w:ascii="Times New Roman" w:eastAsia="宋体" w:hAnsi="Times New Roman" w:cs="Times New Roman" w:hint="eastAsia"/>
          <w:szCs w:val="21"/>
        </w:rPr>
        <w:t>打浆（去渣）</w:t>
      </w:r>
      <w:r>
        <w:rPr>
          <w:rFonts w:ascii="Times New Roman" w:eastAsia="宋体" w:hAnsi="Times New Roman" w:cs="Times New Roman"/>
          <w:szCs w:val="21"/>
        </w:rPr>
        <w:t>→</w:t>
      </w:r>
      <w:r>
        <w:rPr>
          <w:rFonts w:ascii="Times New Roman" w:eastAsia="宋体" w:hAnsi="Times New Roman" w:cs="Times New Roman" w:hint="eastAsia"/>
          <w:szCs w:val="21"/>
        </w:rPr>
        <w:t>搅拌</w:t>
      </w:r>
      <w:r>
        <w:rPr>
          <w:rFonts w:ascii="Times New Roman" w:eastAsia="宋体" w:hAnsi="Times New Roman" w:cs="Times New Roman"/>
          <w:szCs w:val="21"/>
        </w:rPr>
        <w:t>→</w:t>
      </w:r>
      <w:r>
        <w:rPr>
          <w:rFonts w:ascii="Times New Roman" w:eastAsia="宋体" w:hAnsi="Times New Roman" w:cs="Times New Roman" w:hint="eastAsia"/>
          <w:szCs w:val="21"/>
        </w:rPr>
        <w:t>成型</w:t>
      </w:r>
      <w:r>
        <w:rPr>
          <w:rFonts w:ascii="Times New Roman" w:eastAsia="宋体" w:hAnsi="Times New Roman" w:cs="Times New Roman"/>
          <w:szCs w:val="21"/>
        </w:rPr>
        <w:t>→</w:t>
      </w:r>
      <w:r>
        <w:rPr>
          <w:rFonts w:ascii="Times New Roman" w:eastAsia="宋体" w:hAnsi="Times New Roman" w:cs="Times New Roman" w:hint="eastAsia"/>
          <w:szCs w:val="21"/>
        </w:rPr>
        <w:t>干燥</w:t>
      </w:r>
      <w:r>
        <w:rPr>
          <w:rFonts w:ascii="Times New Roman" w:eastAsia="宋体" w:hAnsi="Times New Roman" w:cs="Times New Roman"/>
          <w:szCs w:val="21"/>
        </w:rPr>
        <w:t>→</w:t>
      </w:r>
      <w:r>
        <w:rPr>
          <w:rFonts w:ascii="Times New Roman" w:eastAsia="宋体" w:hAnsi="Times New Roman" w:cs="Times New Roman" w:hint="eastAsia"/>
          <w:szCs w:val="21"/>
        </w:rPr>
        <w:t>起片</w:t>
      </w:r>
      <w:r>
        <w:rPr>
          <w:rFonts w:ascii="Times New Roman" w:eastAsia="宋体" w:hAnsi="Times New Roman" w:cs="Times New Roman"/>
          <w:szCs w:val="21"/>
        </w:rPr>
        <w:t>→</w:t>
      </w:r>
      <w:r>
        <w:rPr>
          <w:rFonts w:ascii="Times New Roman" w:eastAsia="宋体" w:hAnsi="Times New Roman" w:cs="Times New Roman"/>
          <w:szCs w:val="21"/>
        </w:rPr>
        <w:t>包装</w:t>
      </w:r>
      <w:r>
        <w:rPr>
          <w:rFonts w:hint="eastAsia"/>
        </w:rPr>
        <w:t>→成品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4854FB" w:rsidRDefault="004C2F79" w:rsidP="000913B0">
      <w:pPr>
        <w:pStyle w:val="2"/>
        <w:rPr>
          <w:rFonts w:hint="default"/>
          <w:b/>
        </w:rPr>
      </w:pPr>
      <w:r>
        <w:t>6.2</w:t>
      </w:r>
      <w:r w:rsidR="000913B0">
        <w:rPr>
          <w:rFonts w:hint="default"/>
        </w:rPr>
        <w:t xml:space="preserve"> </w:t>
      </w:r>
      <w:r>
        <w:t>加工</w:t>
      </w:r>
    </w:p>
    <w:p w:rsidR="004854FB" w:rsidRPr="00893CB7" w:rsidRDefault="004C2F79" w:rsidP="00893CB7">
      <w:pPr>
        <w:pStyle w:val="3"/>
        <w:rPr>
          <w:rFonts w:hint="default"/>
        </w:rPr>
      </w:pPr>
      <w:r>
        <w:t>6.2.1 选果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通过筛选设备及人工分离山楂等原料中的各种杂质、病虫果、腐烂果、踫压刺伤果等不合格原料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4854FB" w:rsidRPr="00893CB7" w:rsidRDefault="004C2F79" w:rsidP="00893CB7">
      <w:pPr>
        <w:pStyle w:val="3"/>
        <w:rPr>
          <w:rFonts w:hint="default"/>
        </w:rPr>
      </w:pPr>
      <w:r>
        <w:t>6.2.2 洗果</w:t>
      </w:r>
    </w:p>
    <w:p w:rsidR="004854FB" w:rsidRDefault="004C2F79" w:rsidP="00893CB7">
      <w:pPr>
        <w:pStyle w:val="a4"/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hint="eastAsia"/>
        </w:rPr>
        <w:t>采用流动水冲洗或高压喷淋、气泡清洗设备等，去除水果原料表面的尘土、泥沙、枝叶等杂质，原料表面无可见污渍。</w:t>
      </w:r>
    </w:p>
    <w:p w:rsidR="004854FB" w:rsidRPr="00893CB7" w:rsidRDefault="004C2F79" w:rsidP="00893CB7">
      <w:pPr>
        <w:pStyle w:val="3"/>
        <w:rPr>
          <w:rFonts w:hint="default"/>
        </w:rPr>
      </w:pPr>
      <w:r>
        <w:t>6.2.3 配料</w:t>
      </w:r>
    </w:p>
    <w:p w:rsidR="004854FB" w:rsidRDefault="004C2F79" w:rsidP="00893CB7">
      <w:pPr>
        <w:pStyle w:val="a4"/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将原</w:t>
      </w:r>
      <w:r>
        <w:rPr>
          <w:rFonts w:ascii="宋体" w:eastAsia="宋体" w:hAnsi="宋体" w:cs="宋体" w:hint="eastAsia"/>
          <w:szCs w:val="21"/>
        </w:rPr>
        <w:t>辅料、水、食品添加剂</w:t>
      </w:r>
      <w:r>
        <w:rPr>
          <w:rFonts w:ascii="Times New Roman" w:eastAsia="宋体" w:hAnsi="Times New Roman" w:cs="Times New Roman" w:hint="eastAsia"/>
          <w:szCs w:val="21"/>
        </w:rPr>
        <w:t>按产品配方进行定量称量。产品配方中，食用糖、水的</w:t>
      </w:r>
      <w:r>
        <w:rPr>
          <w:rFonts w:ascii="宋体" w:eastAsia="宋体" w:hAnsi="宋体" w:cs="宋体" w:hint="eastAsia"/>
          <w:szCs w:val="21"/>
        </w:rPr>
        <w:t>添加</w:t>
      </w:r>
      <w:r>
        <w:rPr>
          <w:rFonts w:ascii="宋体" w:eastAsia="宋体" w:hAnsi="宋体" w:cs="宋体" w:hint="eastAsia"/>
          <w:szCs w:val="21"/>
        </w:rPr>
        <w:lastRenderedPageBreak/>
        <w:t>量分别不低于原料的80%和50%。</w:t>
      </w:r>
    </w:p>
    <w:p w:rsidR="004854FB" w:rsidRPr="00893CB7" w:rsidRDefault="004C2F79" w:rsidP="00893CB7">
      <w:pPr>
        <w:pStyle w:val="3"/>
        <w:rPr>
          <w:rFonts w:hint="default"/>
        </w:rPr>
      </w:pPr>
      <w:r>
        <w:t>6.2.4 煮制</w:t>
      </w:r>
    </w:p>
    <w:p w:rsidR="004854FB" w:rsidRDefault="004C2F79" w:rsidP="00893CB7">
      <w:pPr>
        <w:pStyle w:val="a4"/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将</w:t>
      </w:r>
      <w:r>
        <w:rPr>
          <w:rFonts w:ascii="Times New Roman" w:eastAsia="宋体" w:hAnsi="Times New Roman" w:cs="Times New Roman" w:hint="eastAsia"/>
          <w:szCs w:val="21"/>
        </w:rPr>
        <w:t>山楂、其他果蔬（添加时）、食用糖、水定量添加后，经煮制设备熟制，</w:t>
      </w:r>
      <w:r>
        <w:rPr>
          <w:rFonts w:ascii="宋体" w:eastAsia="宋体" w:hAnsi="宋体" w:cs="宋体" w:hint="eastAsia"/>
          <w:szCs w:val="21"/>
        </w:rPr>
        <w:t>原料煮熟度达到10</w:t>
      </w:r>
      <w:r>
        <w:rPr>
          <w:rFonts w:ascii="Times New Roman" w:eastAsia="宋体" w:hAnsi="Times New Roman" w:cs="Times New Roman" w:hint="eastAsia"/>
          <w:szCs w:val="21"/>
        </w:rPr>
        <w:t>0%</w:t>
      </w:r>
      <w:r>
        <w:rPr>
          <w:rFonts w:ascii="Times New Roman" w:eastAsia="宋体" w:hAnsi="Times New Roman" w:cs="Times New Roman" w:hint="eastAsia"/>
          <w:szCs w:val="21"/>
        </w:rPr>
        <w:t>，用手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挤捏即烂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，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无生芯现象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>煮制</w:t>
      </w:r>
      <w:r>
        <w:rPr>
          <w:rFonts w:ascii="Times New Roman" w:eastAsia="宋体" w:hAnsi="Times New Roman" w:cs="Times New Roman" w:hint="eastAsia"/>
          <w:szCs w:val="21"/>
        </w:rPr>
        <w:t>过程，</w:t>
      </w:r>
      <w:r>
        <w:rPr>
          <w:rFonts w:ascii="Times New Roman" w:eastAsia="宋体" w:hAnsi="Times New Roman" w:cs="Times New Roman"/>
          <w:szCs w:val="21"/>
        </w:rPr>
        <w:t>温度</w:t>
      </w:r>
      <w:r>
        <w:rPr>
          <w:rFonts w:ascii="Times New Roman" w:eastAsia="宋体" w:hAnsi="Times New Roman" w:cs="Times New Roman" w:hint="eastAsia"/>
          <w:szCs w:val="21"/>
        </w:rPr>
        <w:t>控制</w:t>
      </w:r>
      <w:r>
        <w:rPr>
          <w:rFonts w:ascii="Times New Roman" w:eastAsia="宋体" w:hAnsi="Times New Roman" w:cs="Times New Roman"/>
          <w:szCs w:val="21"/>
        </w:rPr>
        <w:t>在</w:t>
      </w:r>
      <w:r>
        <w:rPr>
          <w:rFonts w:asciiTheme="majorEastAsia" w:eastAsiaTheme="majorEastAsia" w:hAnsiTheme="majorEastAsia" w:cstheme="majorEastAsia" w:hint="eastAsia"/>
          <w:szCs w:val="21"/>
        </w:rPr>
        <w:t>90℃～100℃范围内</w:t>
      </w:r>
      <w:r>
        <w:rPr>
          <w:rFonts w:ascii="宋体" w:eastAsia="宋体" w:hAnsi="宋体" w:cs="宋体" w:hint="eastAsia"/>
          <w:szCs w:val="21"/>
        </w:rPr>
        <w:t>，单一山楂原料煮制时间控制在20min～30min；加入其他</w:t>
      </w:r>
      <w:proofErr w:type="gramStart"/>
      <w:r>
        <w:rPr>
          <w:rFonts w:ascii="宋体" w:eastAsia="宋体" w:hAnsi="宋体" w:cs="宋体" w:hint="eastAsia"/>
          <w:szCs w:val="21"/>
        </w:rPr>
        <w:t>果蔬时煮制</w:t>
      </w:r>
      <w:proofErr w:type="gramEnd"/>
      <w:r>
        <w:rPr>
          <w:rFonts w:ascii="宋体" w:eastAsia="宋体" w:hAnsi="宋体" w:cs="宋体" w:hint="eastAsia"/>
          <w:szCs w:val="21"/>
        </w:rPr>
        <w:t>时间控制在30min～40min。</w:t>
      </w:r>
      <w:r>
        <w:rPr>
          <w:rFonts w:ascii="Times New Roman" w:eastAsia="宋体" w:hAnsi="Times New Roman" w:cs="Times New Roman" w:hint="eastAsia"/>
          <w:szCs w:val="21"/>
        </w:rPr>
        <w:t>煮制过程将物料上下搅动，使全部物料受热均匀。</w:t>
      </w:r>
    </w:p>
    <w:p w:rsidR="004854FB" w:rsidRPr="00893CB7" w:rsidRDefault="004C2F79" w:rsidP="00893CB7">
      <w:pPr>
        <w:pStyle w:val="4"/>
      </w:pPr>
      <w:r>
        <w:rPr>
          <w:rFonts w:cs="黑体" w:hint="eastAsia"/>
          <w:szCs w:val="21"/>
        </w:rPr>
        <w:t>6.2.4.1</w:t>
      </w:r>
      <w:r w:rsidR="000913B0">
        <w:rPr>
          <w:rFonts w:cs="黑体"/>
          <w:szCs w:val="21"/>
        </w:rPr>
        <w:t xml:space="preserve"> </w:t>
      </w:r>
      <w:r>
        <w:rPr>
          <w:rFonts w:hint="eastAsia"/>
        </w:rPr>
        <w:t>糕类、条（果丹皮）类产品</w:t>
      </w:r>
    </w:p>
    <w:p w:rsidR="004854FB" w:rsidRDefault="004C2F79" w:rsidP="00893CB7">
      <w:pPr>
        <w:pStyle w:val="a4"/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原料与食用糖一起煮制，煮制完成前</w:t>
      </w: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分钟</w:t>
      </w:r>
      <w:r>
        <w:rPr>
          <w:rFonts w:ascii="Times New Roman" w:eastAsia="宋体" w:hAnsi="Times New Roman" w:cs="Times New Roman" w:hint="eastAsia"/>
          <w:kern w:val="0"/>
          <w:szCs w:val="21"/>
        </w:rPr>
        <w:t>加入柠檬酸、山梨酸钾、木糖醇、焦亚硫酸钠等食品添加剂。</w:t>
      </w:r>
    </w:p>
    <w:p w:rsidR="004854FB" w:rsidRDefault="004C2F79" w:rsidP="00893CB7">
      <w:pPr>
        <w:pStyle w:val="4"/>
        <w:rPr>
          <w:rFonts w:ascii="Times New Roman" w:eastAsia="宋体" w:hAnsi="Times New Roman" w:cs="Times New Roman"/>
        </w:rPr>
      </w:pPr>
      <w:r>
        <w:rPr>
          <w:rFonts w:hint="eastAsia"/>
        </w:rPr>
        <w:t xml:space="preserve">6.2.4.3 </w:t>
      </w:r>
      <w:r>
        <w:rPr>
          <w:rFonts w:cs="Times New Roman" w:hint="eastAsia"/>
          <w:kern w:val="0"/>
          <w:szCs w:val="27"/>
        </w:rPr>
        <w:t>片类产品</w:t>
      </w:r>
    </w:p>
    <w:p w:rsidR="004854FB" w:rsidRDefault="004C2F79" w:rsidP="00893CB7">
      <w:pPr>
        <w:pStyle w:val="a4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原料煮制时不需加入食</w:t>
      </w:r>
      <w:r>
        <w:rPr>
          <w:rFonts w:ascii="Times New Roman" w:eastAsia="宋体" w:hAnsi="Times New Roman" w:cs="Times New Roman" w:hint="eastAsia"/>
          <w:kern w:val="0"/>
          <w:szCs w:val="21"/>
        </w:rPr>
        <w:t>用糖、食品添加剂。</w:t>
      </w:r>
    </w:p>
    <w:p w:rsidR="004854FB" w:rsidRPr="00893CB7" w:rsidRDefault="004C2F79" w:rsidP="00893CB7">
      <w:pPr>
        <w:pStyle w:val="3"/>
        <w:rPr>
          <w:rFonts w:hint="default"/>
        </w:rPr>
      </w:pPr>
      <w:r>
        <w:t>6.2.5 打浆（去渣）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将煮制的原料经粉碎打浆设备制成果酱并分离出果核残渣，果酱质地</w:t>
      </w:r>
      <w:r>
        <w:rPr>
          <w:rFonts w:hint="eastAsia"/>
        </w:rPr>
        <w:t>细腻。粉碎打浆设备配置的筛网孔径</w:t>
      </w:r>
      <w:r>
        <w:rPr>
          <w:rFonts w:ascii="宋体" w:eastAsia="宋体" w:hAnsi="宋体" w:cs="宋体" w:hint="eastAsia"/>
        </w:rPr>
        <w:t>≤1mm</w:t>
      </w:r>
      <w:r>
        <w:rPr>
          <w:rFonts w:ascii="Times New Roman" w:eastAsia="宋体" w:hAnsi="Times New Roman" w:cs="Times New Roman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>打浆结束，将分离出的果渣收集后清除出车间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:rsidR="004854FB" w:rsidRDefault="004C2F79" w:rsidP="00893CB7">
      <w:pPr>
        <w:pStyle w:val="4"/>
        <w:rPr>
          <w:rFonts w:ascii="宋体" w:eastAsia="宋体" w:hAnsi="宋体" w:cs="宋体"/>
          <w:szCs w:val="21"/>
        </w:rPr>
      </w:pPr>
      <w:r>
        <w:rPr>
          <w:rFonts w:cs="黑体" w:hint="eastAsia"/>
          <w:szCs w:val="21"/>
        </w:rPr>
        <w:t>6.2.5.1</w:t>
      </w:r>
      <w:r>
        <w:rPr>
          <w:rFonts w:ascii="Times New Roman" w:eastAsia="宋体" w:hAnsi="Times New Roman" w:hint="eastAsia"/>
          <w:szCs w:val="21"/>
        </w:rPr>
        <w:t xml:space="preserve"> </w:t>
      </w:r>
      <w:r>
        <w:rPr>
          <w:rFonts w:hint="eastAsia"/>
        </w:rPr>
        <w:t>糕类、条（果丹皮）类产品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原辅料完成煮制后即进行打浆。</w:t>
      </w:r>
    </w:p>
    <w:p w:rsidR="004854FB" w:rsidRDefault="004C2F79" w:rsidP="00893CB7">
      <w:pPr>
        <w:pStyle w:val="4"/>
        <w:rPr>
          <w:rFonts w:ascii="宋体" w:eastAsia="宋体" w:hAnsi="宋体" w:cs="宋体"/>
        </w:rPr>
      </w:pPr>
      <w:r>
        <w:rPr>
          <w:rFonts w:hint="eastAsia"/>
        </w:rPr>
        <w:t>6.2.5.2</w:t>
      </w:r>
      <w:r w:rsidR="000913B0">
        <w:t xml:space="preserve"> </w:t>
      </w:r>
      <w:r>
        <w:rPr>
          <w:rFonts w:cs="Times New Roman" w:hint="eastAsia"/>
          <w:kern w:val="0"/>
          <w:szCs w:val="27"/>
        </w:rPr>
        <w:t>片类产品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宋体" w:hint="eastAsia"/>
          <w:szCs w:val="21"/>
        </w:rPr>
        <w:t>原辅料完成煮制后需要冷却至常温后进行打浆，打浆时将配料称量的食用糖一同加入。</w:t>
      </w:r>
    </w:p>
    <w:p w:rsidR="004854FB" w:rsidRPr="00893CB7" w:rsidRDefault="004C2F79" w:rsidP="00893CB7">
      <w:pPr>
        <w:pStyle w:val="3"/>
        <w:rPr>
          <w:rFonts w:hint="default"/>
        </w:rPr>
      </w:pPr>
      <w:r>
        <w:t>6.2.6 搅拌</w:t>
      </w:r>
    </w:p>
    <w:p w:rsidR="004854FB" w:rsidRDefault="004C2F79" w:rsidP="00893CB7">
      <w:pPr>
        <w:pStyle w:val="a4"/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hint="eastAsia"/>
        </w:rPr>
        <w:t>将果酱加入搅拌混合</w:t>
      </w:r>
      <w:r>
        <w:rPr>
          <w:rFonts w:ascii="Times New Roman" w:eastAsia="宋体" w:hAnsi="Times New Roman" w:cs="Times New Roman" w:hint="eastAsia"/>
          <w:kern w:val="0"/>
          <w:szCs w:val="21"/>
        </w:rPr>
        <w:t>设备中，加入</w:t>
      </w:r>
      <w:bookmarkStart w:id="2" w:name="OLE_LINK1"/>
      <w:bookmarkStart w:id="3" w:name="OLE_LINK2"/>
      <w:r>
        <w:rPr>
          <w:rFonts w:ascii="Times New Roman" w:eastAsia="宋体" w:hAnsi="Times New Roman" w:cs="Times New Roman" w:hint="eastAsia"/>
          <w:kern w:val="0"/>
          <w:szCs w:val="21"/>
        </w:rPr>
        <w:t>胭脂红</w:t>
      </w:r>
      <w:bookmarkEnd w:id="2"/>
      <w:bookmarkEnd w:id="3"/>
      <w:r>
        <w:rPr>
          <w:rFonts w:ascii="Times New Roman" w:eastAsia="宋体" w:hAnsi="Times New Roman" w:cs="Times New Roman" w:hint="eastAsia"/>
          <w:kern w:val="0"/>
          <w:szCs w:val="21"/>
        </w:rPr>
        <w:t>（添加时）进行混合搅拌，使酱体质地均匀一致。片类产品在搅拌过程中还需要加入柠檬酸、山梨酸钾、木糖醇、焦亚硫酸钠等食品添加剂（添加时）。</w:t>
      </w:r>
    </w:p>
    <w:p w:rsidR="004854FB" w:rsidRPr="00893CB7" w:rsidRDefault="004C2F79" w:rsidP="00893CB7">
      <w:pPr>
        <w:pStyle w:val="3"/>
        <w:rPr>
          <w:rFonts w:hint="default"/>
        </w:rPr>
      </w:pPr>
      <w:r>
        <w:t>6.2.7 成型</w:t>
      </w:r>
    </w:p>
    <w:p w:rsidR="004854FB" w:rsidRPr="00893CB7" w:rsidRDefault="004C2F79" w:rsidP="00893CB7">
      <w:pPr>
        <w:pStyle w:val="4"/>
      </w:pPr>
      <w:r>
        <w:rPr>
          <w:rFonts w:hint="eastAsia"/>
        </w:rPr>
        <w:t xml:space="preserve">6.2.7.1 </w:t>
      </w:r>
      <w:r>
        <w:rPr>
          <w:rFonts w:cs="Times New Roman" w:hint="eastAsia"/>
          <w:kern w:val="0"/>
          <w:szCs w:val="27"/>
        </w:rPr>
        <w:t>糕类产品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将</w:t>
      </w:r>
      <w:r>
        <w:rPr>
          <w:rFonts w:ascii="Times New Roman" w:eastAsia="宋体" w:hAnsi="Times New Roman" w:cs="Times New Roman" w:hint="eastAsia"/>
          <w:szCs w:val="21"/>
        </w:rPr>
        <w:t>搅拌均匀的果酱采用人工或设备摊铺在成型模具内，静置</w:t>
      </w:r>
      <w:r>
        <w:rPr>
          <w:rFonts w:ascii="Times New Roman" w:eastAsia="宋体" w:hAnsi="Times New Roman" w:cs="Times New Roman" w:hint="eastAsia"/>
          <w:szCs w:val="21"/>
        </w:rPr>
        <w:t>24</w:t>
      </w:r>
      <w:r>
        <w:rPr>
          <w:rFonts w:ascii="Times New Roman" w:eastAsia="宋体" w:hAnsi="Times New Roman" w:cs="Times New Roman" w:hint="eastAsia"/>
          <w:szCs w:val="21"/>
        </w:rPr>
        <w:t>小时后凝结为固体。</w:t>
      </w:r>
    </w:p>
    <w:p w:rsidR="004854FB" w:rsidRDefault="004C2F79" w:rsidP="00893CB7">
      <w:pPr>
        <w:pStyle w:val="4"/>
        <w:rPr>
          <w:rFonts w:ascii="宋体" w:eastAsia="宋体" w:hAnsi="宋体" w:cs="宋体"/>
          <w:szCs w:val="21"/>
        </w:rPr>
      </w:pPr>
      <w:r>
        <w:rPr>
          <w:rFonts w:cs="黑体" w:hint="eastAsia"/>
          <w:szCs w:val="21"/>
        </w:rPr>
        <w:t xml:space="preserve">6.2.7.2 </w:t>
      </w:r>
      <w:r>
        <w:rPr>
          <w:rFonts w:hint="eastAsia"/>
        </w:rPr>
        <w:t>条（果丹皮）类、片类产品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将</w:t>
      </w:r>
      <w:r>
        <w:rPr>
          <w:rFonts w:ascii="Times New Roman" w:eastAsia="宋体" w:hAnsi="Times New Roman" w:cs="Times New Roman" w:hint="eastAsia"/>
          <w:szCs w:val="21"/>
        </w:rPr>
        <w:t>搅拌均匀的果酱采用人工或设备摊铺在载体（镀膜合金板、钢化玻璃板等）上。</w:t>
      </w:r>
    </w:p>
    <w:p w:rsidR="004854FB" w:rsidRDefault="004C2F79" w:rsidP="00893CB7">
      <w:pPr>
        <w:pStyle w:val="4"/>
      </w:pPr>
      <w:r>
        <w:rPr>
          <w:rFonts w:hint="eastAsia"/>
        </w:rPr>
        <w:t>6.2.7.3 成型要求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成型时</w:t>
      </w:r>
      <w:r>
        <w:rPr>
          <w:rFonts w:ascii="Times New Roman" w:eastAsia="宋体" w:hAnsi="Times New Roman" w:cs="Times New Roman" w:hint="eastAsia"/>
          <w:szCs w:val="21"/>
        </w:rPr>
        <w:t>摊铺薄厚度基本均匀一致，无明显凹凸现象。</w:t>
      </w:r>
    </w:p>
    <w:p w:rsidR="004854FB" w:rsidRDefault="004C2F79" w:rsidP="000913B0">
      <w:pPr>
        <w:pStyle w:val="3"/>
        <w:rPr>
          <w:rFonts w:hint="default"/>
        </w:rPr>
      </w:pPr>
      <w:r>
        <w:t>6.2.8 干燥（或不干燥）</w:t>
      </w:r>
    </w:p>
    <w:p w:rsidR="004854FB" w:rsidRDefault="004C2F79" w:rsidP="00893CB7">
      <w:pPr>
        <w:pStyle w:val="a4"/>
        <w:adjustRightInd w:val="0"/>
        <w:snapToGrid w:val="0"/>
        <w:spacing w:line="360" w:lineRule="auto"/>
        <w:ind w:firstLineChars="200" w:firstLine="420"/>
        <w:rPr>
          <w:rFonts w:asciiTheme="majorEastAsia" w:eastAsiaTheme="majorEastAsia" w:hAnsiTheme="majorEastAsia" w:cstheme="majorEastAsia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需要干燥时，将成型产品</w:t>
      </w:r>
      <w:r>
        <w:rPr>
          <w:rFonts w:ascii="Times New Roman" w:eastAsia="宋体" w:hAnsi="Times New Roman" w:cs="Times New Roman"/>
          <w:szCs w:val="21"/>
        </w:rPr>
        <w:t>采用</w:t>
      </w:r>
      <w:r>
        <w:rPr>
          <w:rFonts w:ascii="Times New Roman" w:eastAsia="宋体" w:hAnsi="Times New Roman" w:cs="Times New Roman" w:hint="eastAsia"/>
          <w:szCs w:val="21"/>
        </w:rPr>
        <w:t>烘干房（室）、烘干机等进行干燥去除部分水分，产品感官及含水量符合产品标准规定。烘干过程中，温度由低温逐步升至高温，避免骤升骤降造成产品内外水分不均现象。</w:t>
      </w:r>
    </w:p>
    <w:p w:rsidR="004854FB" w:rsidRDefault="004C2F79" w:rsidP="00893CB7">
      <w:pPr>
        <w:pStyle w:val="4"/>
        <w:rPr>
          <w:rFonts w:asciiTheme="majorEastAsia" w:eastAsiaTheme="majorEastAsia" w:hAnsiTheme="majorEastAsia" w:cstheme="majorEastAsia"/>
        </w:rPr>
      </w:pPr>
      <w:r>
        <w:rPr>
          <w:rFonts w:hint="eastAsia"/>
        </w:rPr>
        <w:lastRenderedPageBreak/>
        <w:t xml:space="preserve">6.2.8.1 </w:t>
      </w:r>
      <w:r>
        <w:rPr>
          <w:rFonts w:cs="Times New Roman" w:hint="eastAsia"/>
          <w:szCs w:val="27"/>
        </w:rPr>
        <w:t>糕类产品</w:t>
      </w:r>
    </w:p>
    <w:p w:rsidR="004854FB" w:rsidRDefault="004C2F79" w:rsidP="00893CB7">
      <w:pPr>
        <w:pStyle w:val="a4"/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proofErr w:type="gramStart"/>
      <w:r>
        <w:rPr>
          <w:rFonts w:ascii="Times New Roman" w:eastAsia="宋体" w:hAnsi="Times New Roman" w:cs="Times New Roman" w:hint="eastAsia"/>
          <w:szCs w:val="21"/>
        </w:rPr>
        <w:t>按照终产品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的规格要求将成型后冷却凝固的产品切制成条状、块状、粒状等进行干燥，</w:t>
      </w:r>
      <w:r>
        <w:rPr>
          <w:rFonts w:ascii="Times New Roman" w:eastAsia="宋体" w:hAnsi="Times New Roman" w:cs="Times New Roman"/>
          <w:szCs w:val="21"/>
        </w:rPr>
        <w:t>温度</w:t>
      </w:r>
      <w:r>
        <w:rPr>
          <w:rFonts w:ascii="Times New Roman" w:eastAsia="宋体" w:hAnsi="Times New Roman" w:cs="Times New Roman" w:hint="eastAsia"/>
          <w:szCs w:val="21"/>
        </w:rPr>
        <w:t>50</w:t>
      </w:r>
      <w:r>
        <w:rPr>
          <w:rFonts w:ascii="Times New Roman" w:eastAsia="宋体" w:hAnsi="Times New Roman" w:cs="Times New Roman" w:hint="eastAsia"/>
          <w:szCs w:val="21"/>
        </w:rPr>
        <w:t>℃</w:t>
      </w:r>
      <w:r>
        <w:rPr>
          <w:rFonts w:ascii="宋体" w:eastAsia="宋体" w:hAnsi="宋体" w:cs="宋体" w:hint="eastAsia"/>
          <w:szCs w:val="21"/>
        </w:rPr>
        <w:t>～70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宋体" w:hAnsi="Times New Roman" w:cs="Times New Roman" w:hint="eastAsia"/>
          <w:szCs w:val="21"/>
        </w:rPr>
        <w:t>，时间</w:t>
      </w:r>
      <w:r>
        <w:rPr>
          <w:rFonts w:asciiTheme="majorEastAsia" w:eastAsiaTheme="majorEastAsia" w:hAnsiTheme="majorEastAsia" w:cstheme="majorEastAsia" w:hint="eastAsia"/>
          <w:szCs w:val="21"/>
        </w:rPr>
        <w:t>3h～5h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:rsidR="004854FB" w:rsidRDefault="004C2F79" w:rsidP="00893CB7">
      <w:pPr>
        <w:pStyle w:val="4"/>
        <w:rPr>
          <w:rFonts w:ascii="宋体" w:eastAsia="宋体" w:hAnsi="宋体" w:cs="宋体"/>
        </w:rPr>
      </w:pPr>
      <w:r>
        <w:rPr>
          <w:rFonts w:cs="黑体" w:hint="eastAsia"/>
        </w:rPr>
        <w:t xml:space="preserve">6.2.8.2 </w:t>
      </w:r>
      <w:r>
        <w:rPr>
          <w:rFonts w:hint="eastAsia"/>
          <w:kern w:val="0"/>
          <w:szCs w:val="27"/>
        </w:rPr>
        <w:t>条（果丹皮）类产品</w:t>
      </w:r>
    </w:p>
    <w:p w:rsidR="004854FB" w:rsidRDefault="004C2F79" w:rsidP="00893CB7">
      <w:pPr>
        <w:pStyle w:val="a4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将成型产品进行干燥，</w:t>
      </w:r>
      <w:r>
        <w:rPr>
          <w:rFonts w:ascii="Times New Roman" w:eastAsia="宋体" w:hAnsi="Times New Roman" w:cs="Times New Roman"/>
          <w:szCs w:val="21"/>
        </w:rPr>
        <w:t>温度</w:t>
      </w:r>
      <w:r>
        <w:rPr>
          <w:rFonts w:ascii="宋体" w:eastAsia="宋体" w:hAnsi="宋体" w:cs="宋体" w:hint="eastAsia"/>
          <w:szCs w:val="21"/>
        </w:rPr>
        <w:t>50℃～70 ℃</w:t>
      </w:r>
      <w:r>
        <w:rPr>
          <w:rFonts w:ascii="Times New Roman" w:eastAsia="宋体" w:hAnsi="Times New Roman" w:cs="Times New Roman" w:hint="eastAsia"/>
          <w:szCs w:val="21"/>
        </w:rPr>
        <w:t>，时间</w:t>
      </w:r>
      <w:r>
        <w:rPr>
          <w:rFonts w:ascii="宋体" w:eastAsia="宋体" w:hAnsi="宋体" w:cs="宋体" w:hint="eastAsia"/>
          <w:szCs w:val="21"/>
        </w:rPr>
        <w:t>4h～12h（干燥后的产品厚度在2mm以下的4h～6h，干燥后的产品厚度在2mm以上的6h～12h）。</w:t>
      </w:r>
    </w:p>
    <w:p w:rsidR="004854FB" w:rsidRDefault="004C2F79" w:rsidP="00893CB7">
      <w:pPr>
        <w:pStyle w:val="4"/>
        <w:rPr>
          <w:rFonts w:ascii="宋体" w:eastAsia="宋体" w:hAnsi="宋体" w:cs="宋体"/>
        </w:rPr>
      </w:pPr>
      <w:r>
        <w:rPr>
          <w:rFonts w:hint="eastAsia"/>
        </w:rPr>
        <w:t xml:space="preserve">6.2.8.3 </w:t>
      </w:r>
      <w:r>
        <w:rPr>
          <w:rFonts w:cs="Times New Roman" w:hint="eastAsia"/>
          <w:kern w:val="0"/>
          <w:szCs w:val="27"/>
        </w:rPr>
        <w:t>片类产品</w:t>
      </w:r>
    </w:p>
    <w:p w:rsidR="004854FB" w:rsidRDefault="004C2F79" w:rsidP="00893CB7">
      <w:pPr>
        <w:pStyle w:val="a4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将成型产品进行干燥，</w:t>
      </w:r>
      <w:r>
        <w:rPr>
          <w:rFonts w:ascii="Times New Roman" w:eastAsia="宋体" w:hAnsi="Times New Roman" w:cs="Times New Roman"/>
          <w:szCs w:val="21"/>
        </w:rPr>
        <w:t>温度</w:t>
      </w:r>
      <w:r>
        <w:rPr>
          <w:rFonts w:ascii="Times New Roman" w:eastAsia="宋体" w:hAnsi="Times New Roman" w:cs="Times New Roman" w:hint="eastAsia"/>
          <w:szCs w:val="21"/>
        </w:rPr>
        <w:t>50</w:t>
      </w:r>
      <w:r>
        <w:rPr>
          <w:rFonts w:ascii="Times New Roman" w:eastAsia="宋体" w:hAnsi="Times New Roman" w:cs="Times New Roman" w:hint="eastAsia"/>
          <w:szCs w:val="21"/>
        </w:rPr>
        <w:t>℃</w:t>
      </w:r>
      <w:r>
        <w:rPr>
          <w:rFonts w:ascii="宋体" w:eastAsia="宋体" w:hAnsi="宋体" w:cs="宋体" w:hint="eastAsia"/>
          <w:szCs w:val="21"/>
        </w:rPr>
        <w:t>～70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宋体" w:hAnsi="Times New Roman" w:cs="Times New Roman" w:hint="eastAsia"/>
          <w:szCs w:val="21"/>
        </w:rPr>
        <w:t>，时间</w:t>
      </w:r>
      <w:r>
        <w:rPr>
          <w:rFonts w:ascii="宋体" w:eastAsia="宋体" w:hAnsi="宋体" w:cs="宋体" w:hint="eastAsia"/>
          <w:szCs w:val="21"/>
        </w:rPr>
        <w:t>4h～12h（干燥后的产品厚度在2mm以下的4h～6h，干燥后的产品厚度在2mm～5mm之间的6h～12h，干燥后的产品厚度在5mm以上的12h～24h）。</w:t>
      </w:r>
    </w:p>
    <w:p w:rsidR="004854FB" w:rsidRPr="00893CB7" w:rsidRDefault="004C2F79" w:rsidP="00893CB7">
      <w:pPr>
        <w:pStyle w:val="3"/>
        <w:rPr>
          <w:rFonts w:hint="default"/>
        </w:rPr>
      </w:pPr>
      <w:r>
        <w:t>6.2.9 起片</w:t>
      </w:r>
    </w:p>
    <w:p w:rsidR="004854FB" w:rsidRDefault="004C2F79" w:rsidP="00893CB7">
      <w:pPr>
        <w:pStyle w:val="a4"/>
        <w:adjustRightInd w:val="0"/>
        <w:snapToGrid w:val="0"/>
        <w:spacing w:line="360" w:lineRule="auto"/>
        <w:ind w:firstLineChars="200" w:firstLine="420"/>
      </w:pPr>
      <w:r>
        <w:rPr>
          <w:rFonts w:ascii="宋体" w:eastAsia="宋体" w:hAnsi="宋体" w:cs="宋体" w:hint="eastAsia"/>
          <w:szCs w:val="21"/>
        </w:rPr>
        <w:t>条（果丹皮）类、片类产品完成干燥后，</w:t>
      </w:r>
      <w:r>
        <w:rPr>
          <w:rFonts w:ascii="宋体" w:eastAsia="宋体" w:hAnsi="宋体" w:cs="宋体" w:hint="eastAsia"/>
        </w:rPr>
        <w:t>采用人工或设备将</w:t>
      </w:r>
      <w:r>
        <w:rPr>
          <w:rFonts w:ascii="Times New Roman" w:eastAsia="宋体" w:hAnsi="Times New Roman" w:cs="Times New Roman" w:hint="eastAsia"/>
          <w:szCs w:val="21"/>
        </w:rPr>
        <w:t>载体（镀膜合金板、钢化玻璃板等）上的半成品剥离。起片时用力均匀，减少边角料。</w:t>
      </w:r>
      <w:r>
        <w:rPr>
          <w:rFonts w:hint="eastAsia"/>
        </w:rPr>
        <w:t xml:space="preserve"> </w:t>
      </w:r>
    </w:p>
    <w:p w:rsidR="004854FB" w:rsidRPr="00893CB7" w:rsidRDefault="004C2F79" w:rsidP="00893CB7">
      <w:pPr>
        <w:pStyle w:val="3"/>
        <w:rPr>
          <w:rFonts w:hint="default"/>
        </w:rPr>
      </w:pPr>
      <w:r>
        <w:t>6.2.10 包装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</w:rPr>
      </w:pPr>
      <w:r>
        <w:rPr>
          <w:rFonts w:ascii="宋体" w:eastAsia="宋体" w:hAnsi="宋体" w:cs="宋体" w:hint="eastAsia"/>
          <w:szCs w:val="21"/>
        </w:rPr>
        <w:t>按照产品规格、净含量的要求进行产品包装。产品净含量允许误差应符合</w:t>
      </w:r>
      <w:r>
        <w:rPr>
          <w:rFonts w:ascii="宋体" w:eastAsia="宋体" w:hAnsi="宋体" w:cs="Times New Roman" w:hint="eastAsia"/>
        </w:rPr>
        <w:t>国家市场监督管理总局令第70号《定量包装商品计量监督管理办法》的规定。绿色食品的包装、存储区域应设置明显标识，与常规产品分开包装、存放，防止混淆。</w:t>
      </w:r>
    </w:p>
    <w:p w:rsidR="004854FB" w:rsidRDefault="004C2F79" w:rsidP="00893CB7">
      <w:pPr>
        <w:pStyle w:val="4"/>
        <w:rPr>
          <w:rFonts w:ascii="宋体" w:eastAsia="宋体" w:hAnsi="宋体" w:cs="Times New Roman"/>
        </w:rPr>
      </w:pPr>
      <w:r>
        <w:rPr>
          <w:rFonts w:hint="eastAsia"/>
        </w:rPr>
        <w:t xml:space="preserve">6.2.10.1 </w:t>
      </w:r>
      <w:r>
        <w:rPr>
          <w:rFonts w:hint="eastAsia"/>
          <w:kern w:val="0"/>
        </w:rPr>
        <w:t>糕类产品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</w:rPr>
      </w:pPr>
      <w:r>
        <w:rPr>
          <w:rFonts w:ascii="宋体" w:eastAsia="宋体" w:hAnsi="宋体" w:cs="Times New Roman" w:hint="eastAsia"/>
        </w:rPr>
        <w:t>经干燥的半成品由包装设备完成包装。</w:t>
      </w:r>
    </w:p>
    <w:p w:rsidR="004854FB" w:rsidRDefault="004C2F79" w:rsidP="00893CB7">
      <w:pPr>
        <w:pStyle w:val="4"/>
        <w:rPr>
          <w:rFonts w:ascii="宋体" w:eastAsia="宋体" w:hAnsi="宋体" w:cs="宋体"/>
        </w:rPr>
      </w:pPr>
      <w:r>
        <w:rPr>
          <w:rFonts w:hint="eastAsia"/>
        </w:rPr>
        <w:t>6.2.10.2 条（果丹皮）类、片类产品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</w:rPr>
      </w:pPr>
      <w:r>
        <w:rPr>
          <w:rFonts w:ascii="宋体" w:eastAsia="宋体" w:hAnsi="宋体" w:cs="宋体" w:hint="eastAsia"/>
          <w:szCs w:val="21"/>
        </w:rPr>
        <w:t>完成起片的半成品，</w:t>
      </w:r>
      <w:proofErr w:type="gramStart"/>
      <w:r>
        <w:rPr>
          <w:rFonts w:ascii="宋体" w:eastAsia="宋体" w:hAnsi="宋体" w:cs="宋体" w:hint="eastAsia"/>
          <w:szCs w:val="21"/>
        </w:rPr>
        <w:t>经设备先</w:t>
      </w:r>
      <w:proofErr w:type="gramEnd"/>
      <w:r>
        <w:rPr>
          <w:rFonts w:ascii="宋体" w:eastAsia="宋体" w:hAnsi="宋体" w:cs="宋体" w:hint="eastAsia"/>
          <w:szCs w:val="21"/>
        </w:rPr>
        <w:t>制成片状、块状、球状、</w:t>
      </w:r>
      <w:proofErr w:type="gramStart"/>
      <w:r>
        <w:rPr>
          <w:rFonts w:ascii="宋体" w:eastAsia="宋体" w:hAnsi="宋体" w:cs="宋体" w:hint="eastAsia"/>
          <w:szCs w:val="21"/>
        </w:rPr>
        <w:t>丁状</w:t>
      </w:r>
      <w:proofErr w:type="gramEnd"/>
      <w:r>
        <w:rPr>
          <w:rFonts w:ascii="宋体" w:eastAsia="宋体" w:hAnsi="宋体" w:cs="宋体" w:hint="eastAsia"/>
          <w:szCs w:val="21"/>
        </w:rPr>
        <w:t>等，然后完成</w:t>
      </w:r>
      <w:proofErr w:type="gramStart"/>
      <w:r>
        <w:rPr>
          <w:rFonts w:ascii="宋体" w:eastAsia="宋体" w:hAnsi="宋体" w:cs="宋体" w:hint="eastAsia"/>
          <w:szCs w:val="21"/>
        </w:rPr>
        <w:t>终产品</w:t>
      </w:r>
      <w:proofErr w:type="gramEnd"/>
      <w:r>
        <w:rPr>
          <w:rFonts w:ascii="宋体" w:eastAsia="宋体" w:hAnsi="宋体" w:cs="宋体" w:hint="eastAsia"/>
          <w:szCs w:val="21"/>
        </w:rPr>
        <w:t>的包装。包装前，根据产品的含水量可再次烘干（温度50℃～70 ℃，时间1h～2h）去除部分水分，确保产品质量符合产品标准。</w:t>
      </w:r>
    </w:p>
    <w:p w:rsidR="004854FB" w:rsidRPr="00893CB7" w:rsidRDefault="004C2F79" w:rsidP="00893CB7">
      <w:pPr>
        <w:pStyle w:val="3"/>
        <w:rPr>
          <w:rFonts w:hint="default"/>
        </w:rPr>
      </w:pPr>
      <w:r>
        <w:t>6.2.11 入库储存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</w:rPr>
      </w:pPr>
      <w:r>
        <w:rPr>
          <w:rFonts w:ascii="宋体" w:eastAsia="宋体" w:hAnsi="宋体" w:cs="宋体" w:hint="eastAsia"/>
          <w:szCs w:val="21"/>
        </w:rPr>
        <w:t>入库前，核对产品批次、数量与入库信息，准确填写</w:t>
      </w:r>
      <w:proofErr w:type="gramStart"/>
      <w:r>
        <w:rPr>
          <w:rFonts w:ascii="宋体" w:eastAsia="宋体" w:hAnsi="宋体" w:cs="宋体" w:hint="eastAsia"/>
          <w:szCs w:val="21"/>
        </w:rPr>
        <w:t>入库台</w:t>
      </w:r>
      <w:proofErr w:type="gramEnd"/>
      <w:r>
        <w:rPr>
          <w:rFonts w:ascii="宋体" w:eastAsia="宋体" w:hAnsi="宋体" w:cs="宋体" w:hint="eastAsia"/>
          <w:szCs w:val="21"/>
        </w:rPr>
        <w:t>账。产品应放置在垫板上，离墙≥30cm，离地≥10cm，堆码整齐、稳固。</w:t>
      </w:r>
    </w:p>
    <w:p w:rsidR="004854FB" w:rsidRPr="00893CB7" w:rsidRDefault="004C2F79" w:rsidP="00893CB7">
      <w:pPr>
        <w:pStyle w:val="1"/>
        <w:rPr>
          <w:rFonts w:hint="default"/>
        </w:rPr>
      </w:pPr>
      <w:r>
        <w:t>7 平行生产区分管理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</w:pPr>
      <w:r>
        <w:rPr>
          <w:rFonts w:hint="eastAsia"/>
        </w:rPr>
        <w:t>生产企业同时生产绿色食品和常规产品时，应全程控制原料采购、运输、生产线、包装、贮藏等环节。企业应合理安排绿色食品生产与常规产品生产，保证两者有效隔离，防止绿色食品与非绿色食品交叉污染。</w:t>
      </w:r>
    </w:p>
    <w:p w:rsidR="004854FB" w:rsidRPr="00893CB7" w:rsidRDefault="004C2F79" w:rsidP="00893CB7">
      <w:pPr>
        <w:pStyle w:val="2"/>
        <w:rPr>
          <w:rFonts w:hint="default"/>
        </w:rPr>
      </w:pPr>
      <w:r>
        <w:t>7.1 加工过程管理</w:t>
      </w:r>
    </w:p>
    <w:p w:rsidR="004854FB" w:rsidRDefault="004C2F79" w:rsidP="00893CB7">
      <w:pPr>
        <w:pStyle w:val="3"/>
        <w:rPr>
          <w:rFonts w:hint="default"/>
        </w:rPr>
      </w:pPr>
      <w:r>
        <w:t>7.1.1 加工车间管理</w:t>
      </w:r>
    </w:p>
    <w:p w:rsidR="004854FB" w:rsidRDefault="004C2F79" w:rsidP="00893CB7">
      <w:pPr>
        <w:pStyle w:val="10"/>
        <w:adjustRightInd w:val="0"/>
        <w:snapToGrid w:val="0"/>
        <w:spacing w:line="360" w:lineRule="auto"/>
      </w:pPr>
      <w:r>
        <w:t>绿色食品加工应由专人管理，</w:t>
      </w:r>
      <w:r>
        <w:rPr>
          <w:rFonts w:hint="eastAsia"/>
        </w:rPr>
        <w:t>有条件的可专线生产。仅有一条生产线时，每次加工时应优先绿色食品，保证绿色食品与常规产品的加工生产从时间上隔离。每次加工前后应对所使</w:t>
      </w:r>
      <w:r>
        <w:rPr>
          <w:rFonts w:hint="eastAsia"/>
        </w:rPr>
        <w:lastRenderedPageBreak/>
        <w:t>用的容器、工具和设备进行清洗，以防交叉污染。</w:t>
      </w:r>
    </w:p>
    <w:p w:rsidR="004854FB" w:rsidRDefault="004C2F79" w:rsidP="00893CB7">
      <w:pPr>
        <w:pStyle w:val="3"/>
        <w:rPr>
          <w:rFonts w:hint="default"/>
        </w:rPr>
      </w:pPr>
      <w:r>
        <w:t xml:space="preserve">7.1.2 </w:t>
      </w:r>
      <w:r>
        <w:rPr>
          <w:lang w:bidi="ar"/>
        </w:rPr>
        <w:t>原料、配料管理</w:t>
      </w:r>
    </w:p>
    <w:p w:rsidR="004854FB" w:rsidRDefault="004C2F79" w:rsidP="00893CB7">
      <w:pPr>
        <w:pStyle w:val="10"/>
        <w:adjustRightInd w:val="0"/>
        <w:snapToGrid w:val="0"/>
        <w:spacing w:line="360" w:lineRule="auto"/>
      </w:pPr>
      <w:r>
        <w:rPr>
          <w:rFonts w:hint="eastAsia"/>
        </w:rPr>
        <w:t>绿色食品和常规产</w:t>
      </w:r>
      <w:r>
        <w:t>品</w:t>
      </w:r>
      <w:r>
        <w:rPr>
          <w:rFonts w:hint="eastAsia"/>
        </w:rPr>
        <w:t>的原辅料在生产过程应分开存放，明确标识。常规产</w:t>
      </w:r>
      <w:r>
        <w:t>品</w:t>
      </w:r>
      <w:r>
        <w:rPr>
          <w:rFonts w:hint="eastAsia"/>
        </w:rPr>
        <w:t>在生产过程使用的辅料与绿色食品一致时，应按照绿色食品生产要求进行管理。</w:t>
      </w:r>
    </w:p>
    <w:p w:rsidR="004854FB" w:rsidRDefault="004C2F79" w:rsidP="00893CB7">
      <w:pPr>
        <w:pStyle w:val="2"/>
        <w:rPr>
          <w:rFonts w:hint="default"/>
        </w:rPr>
      </w:pPr>
      <w:r>
        <w:t>7.2 原料运输、储存管理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宋体" w:cs="Times New Roman"/>
          <w:szCs w:val="21"/>
        </w:rPr>
        <w:t>原料采购后，由指定专车完成运输。混运时，采用易于分区的容器分开存放绿色食品和常规产品用原料。绿色食品的生产原料应有单独的仓库。如与常规产品的</w:t>
      </w:r>
      <w:r>
        <w:rPr>
          <w:rFonts w:ascii="Times New Roman" w:eastAsia="宋体" w:hAnsi="宋体" w:cs="Times New Roman" w:hint="eastAsia"/>
          <w:szCs w:val="21"/>
        </w:rPr>
        <w:t>生产</w:t>
      </w:r>
      <w:r>
        <w:rPr>
          <w:rFonts w:ascii="Times New Roman" w:eastAsia="宋体" w:hAnsi="宋体" w:cs="Times New Roman"/>
          <w:szCs w:val="21"/>
        </w:rPr>
        <w:t>原料共用同一仓库时，应分区域储藏</w:t>
      </w:r>
      <w:r>
        <w:rPr>
          <w:rFonts w:ascii="Times New Roman" w:eastAsia="宋体" w:hAnsi="宋体" w:cs="Times New Roman" w:hint="eastAsia"/>
          <w:szCs w:val="21"/>
        </w:rPr>
        <w:t>，</w:t>
      </w:r>
      <w:r>
        <w:rPr>
          <w:rFonts w:hint="eastAsia"/>
        </w:rPr>
        <w:t>明确标识</w:t>
      </w:r>
      <w:r>
        <w:rPr>
          <w:rFonts w:ascii="Times New Roman" w:eastAsia="宋体" w:hAnsi="宋体" w:cs="Times New Roman"/>
          <w:szCs w:val="21"/>
        </w:rPr>
        <w:t>。</w:t>
      </w:r>
    </w:p>
    <w:p w:rsidR="004854FB" w:rsidRPr="00893CB7" w:rsidRDefault="004C2F79" w:rsidP="00893CB7">
      <w:pPr>
        <w:pStyle w:val="1"/>
        <w:rPr>
          <w:rFonts w:hint="default"/>
        </w:rPr>
      </w:pPr>
      <w:r>
        <w:t>8 包装、检验、储藏与运输</w:t>
      </w:r>
    </w:p>
    <w:p w:rsidR="004854FB" w:rsidRPr="00893CB7" w:rsidRDefault="004C2F79" w:rsidP="00893CB7">
      <w:pPr>
        <w:pStyle w:val="2"/>
        <w:rPr>
          <w:rFonts w:hint="default"/>
        </w:rPr>
      </w:pPr>
      <w:r>
        <w:t>8.1 包装和标志、标签</w:t>
      </w:r>
    </w:p>
    <w:p w:rsidR="004854FB" w:rsidRDefault="004C2F79" w:rsidP="00893CB7">
      <w:pPr>
        <w:pStyle w:val="10"/>
        <w:adjustRightInd w:val="0"/>
        <w:snapToGrid w:val="0"/>
        <w:spacing w:line="360" w:lineRule="auto"/>
      </w:pPr>
      <w:r>
        <w:rPr>
          <w:rFonts w:hAnsi="宋体" w:hint="eastAsia"/>
        </w:rPr>
        <w:t>绿色食品</w:t>
      </w:r>
      <w:r>
        <w:rPr>
          <w:rFonts w:hAnsi="宋体"/>
        </w:rPr>
        <w:t>包装、容器</w:t>
      </w:r>
      <w:r>
        <w:rPr>
          <w:rFonts w:hAnsi="宋体" w:hint="eastAsia"/>
        </w:rPr>
        <w:t>的安全性应符合</w:t>
      </w:r>
      <w:r>
        <w:rPr>
          <w:rFonts w:ascii="宋体" w:hAnsi="宋体" w:cs="宋体" w:hint="eastAsia"/>
        </w:rPr>
        <w:t>NY/T 658标准及有关规定；</w:t>
      </w:r>
      <w:r>
        <w:rPr>
          <w:rFonts w:hAnsi="宋体"/>
        </w:rPr>
        <w:t>标志、标签应符合</w:t>
      </w:r>
      <w:r>
        <w:rPr>
          <w:rFonts w:ascii="宋体" w:hAnsi="宋体" w:cs="宋体" w:hint="eastAsia"/>
        </w:rPr>
        <w:t>NY/T 658、GB 7718、GB 28050、</w:t>
      </w:r>
      <w:r>
        <w:rPr>
          <w:rFonts w:ascii="宋体" w:hAnsi="宋体" w:hint="eastAsia"/>
        </w:rPr>
        <w:t>国家市场监督管理总局令第100号</w:t>
      </w:r>
      <w:r>
        <w:rPr>
          <w:rFonts w:ascii="宋体" w:hAnsi="宋体" w:cs="宋体" w:hint="eastAsia"/>
        </w:rPr>
        <w:t>《食品标识监督管理办法》</w:t>
      </w:r>
      <w:r>
        <w:rPr>
          <w:rFonts w:hAnsi="宋体" w:hint="eastAsia"/>
        </w:rPr>
        <w:t>的要求</w:t>
      </w:r>
      <w:r>
        <w:rPr>
          <w:rFonts w:hAnsi="宋体"/>
        </w:rPr>
        <w:t>。</w:t>
      </w:r>
      <w:r>
        <w:rPr>
          <w:rFonts w:hint="eastAsia"/>
        </w:rPr>
        <w:t>包装</w:t>
      </w:r>
      <w:r w:rsidR="00F041F5">
        <w:rPr>
          <w:rFonts w:hint="eastAsia"/>
        </w:rPr>
        <w:t>储运</w:t>
      </w:r>
      <w:r>
        <w:rPr>
          <w:rFonts w:hint="eastAsia"/>
        </w:rPr>
        <w:t>图示标志应按</w:t>
      </w:r>
      <w:r>
        <w:rPr>
          <w:rFonts w:ascii="宋体" w:hAnsi="宋体" w:cs="宋体" w:hint="eastAsia"/>
        </w:rPr>
        <w:t>GB/T 191</w:t>
      </w:r>
      <w:r>
        <w:rPr>
          <w:rFonts w:hint="eastAsia"/>
        </w:rPr>
        <w:t>的规定执行。</w:t>
      </w:r>
    </w:p>
    <w:p w:rsidR="004854FB" w:rsidRPr="00893CB7" w:rsidRDefault="004C2F79" w:rsidP="00893CB7">
      <w:pPr>
        <w:pStyle w:val="2"/>
        <w:rPr>
          <w:rFonts w:hint="default"/>
        </w:rPr>
      </w:pPr>
      <w:r>
        <w:t>8.2 检验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完成包装的产品，依据</w:t>
      </w:r>
      <w:r>
        <w:rPr>
          <w:rFonts w:ascii="宋体" w:eastAsia="宋体" w:hAnsi="宋体" w:cs="宋体" w:hint="eastAsia"/>
          <w:szCs w:val="21"/>
        </w:rPr>
        <w:t>NY/T 436、</w:t>
      </w:r>
      <w:r>
        <w:rPr>
          <w:rFonts w:asciiTheme="majorEastAsia" w:eastAsiaTheme="majorEastAsia" w:hAnsiTheme="majorEastAsia" w:cstheme="majorEastAsia" w:hint="eastAsia"/>
        </w:rPr>
        <w:t>NY/T 896、NY/T 1055</w:t>
      </w:r>
      <w:r>
        <w:rPr>
          <w:rFonts w:ascii="宋体" w:eastAsia="宋体" w:hAnsi="宋体" w:cs="宋体" w:hint="eastAsia"/>
          <w:szCs w:val="21"/>
        </w:rPr>
        <w:t>的规定进行抽样检验，净含量检验执行JJF 1070的规定。</w:t>
      </w:r>
    </w:p>
    <w:p w:rsidR="004854FB" w:rsidRDefault="004C2F79" w:rsidP="00893CB7">
      <w:pPr>
        <w:pStyle w:val="2"/>
        <w:rPr>
          <w:rFonts w:hint="default"/>
          <w:b/>
        </w:rPr>
      </w:pPr>
      <w:r>
        <w:t>8.3 储藏与运输</w:t>
      </w:r>
    </w:p>
    <w:p w:rsidR="004854FB" w:rsidRDefault="004C2F79" w:rsidP="00893CB7">
      <w:pPr>
        <w:pStyle w:val="3"/>
        <w:rPr>
          <w:rFonts w:hint="default"/>
        </w:rPr>
      </w:pPr>
      <w:r>
        <w:t>8.3.1 储藏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宋体" w:cs="Times New Roman"/>
          <w:szCs w:val="21"/>
        </w:rPr>
        <w:t>根据生产日期、生产批号等，按照绿色食品标识规则进行编号、标识，分区域存放包装成品</w:t>
      </w:r>
      <w:r>
        <w:rPr>
          <w:rFonts w:ascii="Times New Roman" w:eastAsia="宋体" w:hAnsi="宋体" w:cs="Times New Roman" w:hint="eastAsia"/>
          <w:szCs w:val="21"/>
        </w:rPr>
        <w:t>，应</w:t>
      </w:r>
      <w:r>
        <w:rPr>
          <w:rFonts w:ascii="Times New Roman" w:eastAsia="宋体" w:hAnsi="Times New Roman" w:cs="Times New Roman"/>
          <w:szCs w:val="21"/>
        </w:rPr>
        <w:t>符合</w:t>
      </w:r>
      <w:r>
        <w:rPr>
          <w:rFonts w:ascii="宋体" w:eastAsia="宋体" w:hAnsi="宋体" w:cs="宋体" w:hint="eastAsia"/>
          <w:szCs w:val="21"/>
        </w:rPr>
        <w:t>NY/T 1056</w:t>
      </w:r>
      <w:r>
        <w:rPr>
          <w:rFonts w:ascii="Times New Roman" w:eastAsia="宋体" w:hAnsi="Times New Roman" w:cs="Times New Roman"/>
          <w:szCs w:val="21"/>
        </w:rPr>
        <w:t>的要求。</w:t>
      </w:r>
      <w:r>
        <w:rPr>
          <w:rFonts w:ascii="Times New Roman" w:eastAsia="宋体" w:hAnsi="宋体" w:cs="Times New Roman" w:hint="eastAsia"/>
          <w:szCs w:val="21"/>
        </w:rPr>
        <w:t>储藏条件达到常温、阴凉、干燥。</w:t>
      </w:r>
    </w:p>
    <w:p w:rsidR="004854FB" w:rsidRDefault="004C2F79" w:rsidP="00893CB7">
      <w:pPr>
        <w:pStyle w:val="3"/>
        <w:rPr>
          <w:rFonts w:hint="default"/>
        </w:rPr>
      </w:pPr>
      <w:r>
        <w:t>8.3.2 运输</w:t>
      </w:r>
    </w:p>
    <w:p w:rsidR="004854FB" w:rsidRDefault="004C2F79" w:rsidP="00893CB7">
      <w:pPr>
        <w:pStyle w:val="10"/>
        <w:adjustRightInd w:val="0"/>
        <w:snapToGrid w:val="0"/>
        <w:spacing w:line="360" w:lineRule="auto"/>
        <w:rPr>
          <w:rFonts w:eastAsia="黑体"/>
        </w:rPr>
      </w:pPr>
      <w:r>
        <w:rPr>
          <w:rFonts w:hAnsi="宋体"/>
        </w:rPr>
        <w:t>绿色食品成品应采用专车运输，保持车辆清洁卫生，每天至少清理一次</w:t>
      </w:r>
      <w:r>
        <w:rPr>
          <w:rFonts w:hAnsi="宋体" w:hint="eastAsia"/>
        </w:rPr>
        <w:t>；</w:t>
      </w:r>
      <w:r>
        <w:rPr>
          <w:rFonts w:hAnsi="宋体"/>
        </w:rPr>
        <w:t>与常规产品</w:t>
      </w:r>
      <w:r>
        <w:rPr>
          <w:rFonts w:hAnsi="宋体" w:hint="eastAsia"/>
        </w:rPr>
        <w:t>一同运输时应严格分开；</w:t>
      </w:r>
      <w:r>
        <w:t>应符合</w:t>
      </w:r>
      <w:r>
        <w:rPr>
          <w:rFonts w:ascii="宋体" w:hAnsi="宋体" w:cs="宋体" w:hint="eastAsia"/>
        </w:rPr>
        <w:t>NY/T 1056</w:t>
      </w:r>
      <w:r>
        <w:t>的要求。</w:t>
      </w:r>
      <w:r>
        <w:rPr>
          <w:rFonts w:hint="eastAsia"/>
        </w:rPr>
        <w:t>在运输、装卸时应小心轻放，严禁撞击、挤压和日晒雨淋。运输工具应清洁、卫生，不得与有毒、有害、有腐蚀性和易挥发、有异味的物质混装混运。</w:t>
      </w:r>
    </w:p>
    <w:p w:rsidR="004854FB" w:rsidRPr="00893CB7" w:rsidRDefault="004C2F79" w:rsidP="00893CB7">
      <w:pPr>
        <w:pStyle w:val="1"/>
        <w:rPr>
          <w:rFonts w:hint="default"/>
        </w:rPr>
      </w:pPr>
      <w:r>
        <w:t>9 生产废弃物处理</w:t>
      </w:r>
    </w:p>
    <w:p w:rsidR="004854FB" w:rsidRDefault="004C2F79" w:rsidP="00893CB7">
      <w:pPr>
        <w:pStyle w:val="2"/>
        <w:rPr>
          <w:rFonts w:hint="default"/>
        </w:rPr>
      </w:pPr>
      <w:r>
        <w:t>9.1 基本要求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/>
          <w:szCs w:val="20"/>
        </w:rPr>
      </w:pPr>
      <w:r>
        <w:rPr>
          <w:rFonts w:ascii="Times New Roman" w:eastAsia="宋体" w:hint="eastAsia"/>
          <w:szCs w:val="20"/>
        </w:rPr>
        <w:t>生产厂区应具备有效排水和废弃物处理系统，系统应时刻保持良好状态并有良好维护；或委托外部排水和废弃物处理系统进行处理。所有排水管道</w:t>
      </w:r>
      <w:r>
        <w:rPr>
          <w:rFonts w:ascii="Times New Roman" w:eastAsia="宋体"/>
          <w:szCs w:val="20"/>
        </w:rPr>
        <w:t>(</w:t>
      </w:r>
      <w:r>
        <w:rPr>
          <w:rFonts w:ascii="Times New Roman" w:eastAsia="宋体" w:hint="eastAsia"/>
          <w:szCs w:val="20"/>
        </w:rPr>
        <w:t>包括下水道系统</w:t>
      </w:r>
      <w:r>
        <w:rPr>
          <w:rFonts w:ascii="Times New Roman" w:eastAsia="宋体"/>
          <w:szCs w:val="20"/>
        </w:rPr>
        <w:t>)</w:t>
      </w:r>
      <w:r>
        <w:rPr>
          <w:rFonts w:ascii="Times New Roman" w:eastAsia="宋体" w:hint="eastAsia"/>
          <w:szCs w:val="20"/>
        </w:rPr>
        <w:t>应足以承载泄流峰，其结构应避免污染加工用水。</w:t>
      </w:r>
    </w:p>
    <w:p w:rsidR="004854FB" w:rsidRDefault="004C2F79" w:rsidP="00893CB7">
      <w:pPr>
        <w:pStyle w:val="2"/>
        <w:rPr>
          <w:rFonts w:ascii="Times New Roman" w:eastAsia="宋体" w:hint="default"/>
        </w:rPr>
      </w:pPr>
      <w:r>
        <w:t xml:space="preserve">9.2 </w:t>
      </w:r>
      <w:r>
        <w:rPr>
          <w:szCs w:val="21"/>
        </w:rPr>
        <w:t>生产废水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/>
          <w:szCs w:val="20"/>
        </w:rPr>
      </w:pPr>
      <w:r>
        <w:rPr>
          <w:rFonts w:ascii="Times New Roman" w:eastAsia="宋体" w:hint="eastAsia"/>
          <w:szCs w:val="20"/>
        </w:rPr>
        <w:t>可进行循环利用，其中原料清洗产生的废水集中回收后，经过滤、消毒后符合</w:t>
      </w:r>
      <w:r>
        <w:rPr>
          <w:rFonts w:ascii="宋体" w:eastAsia="宋体" w:hAnsi="宋体" w:cs="宋体" w:hint="eastAsia"/>
          <w:szCs w:val="20"/>
        </w:rPr>
        <w:t>GB 5749</w:t>
      </w:r>
      <w:r>
        <w:rPr>
          <w:rFonts w:ascii="Times New Roman" w:eastAsia="宋体" w:hint="eastAsia"/>
          <w:szCs w:val="20"/>
        </w:rPr>
        <w:t>标准的可再次用于原料及车间地面清洗；后工序产生的废水，经企业自备废水处理系统处理达到废水排放标准后，可用于绿地灌溉、厂区洒水降尘等。</w:t>
      </w:r>
    </w:p>
    <w:p w:rsidR="004854FB" w:rsidRDefault="004C2F79" w:rsidP="00893CB7">
      <w:pPr>
        <w:pStyle w:val="2"/>
        <w:rPr>
          <w:rFonts w:ascii="宋体" w:eastAsia="宋体" w:hAnsi="宋体" w:cs="宋体" w:hint="default"/>
        </w:rPr>
      </w:pPr>
      <w:r>
        <w:lastRenderedPageBreak/>
        <w:t xml:space="preserve">9.3 </w:t>
      </w:r>
      <w:r>
        <w:rPr>
          <w:szCs w:val="21"/>
        </w:rPr>
        <w:t>生产废料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黑体" w:eastAsia="黑体" w:hAnsi="黑体" w:cs="黑体"/>
          <w:szCs w:val="20"/>
        </w:rPr>
      </w:pPr>
      <w:r>
        <w:rPr>
          <w:rFonts w:ascii="宋体" w:eastAsia="宋体" w:hAnsi="宋体" w:cs="宋体" w:hint="eastAsia"/>
          <w:szCs w:val="20"/>
        </w:rPr>
        <w:t>加工过程产生的果核（如：山楂核等），可转由高值化处理部门回收再利用（如：作为活性炭、食品添加剂或消毒剂的生产原料等）。</w:t>
      </w:r>
    </w:p>
    <w:p w:rsidR="004854FB" w:rsidRDefault="004C2F79" w:rsidP="00893CB7">
      <w:pPr>
        <w:pStyle w:val="2"/>
        <w:rPr>
          <w:rFonts w:ascii="宋体" w:eastAsia="宋体" w:hAnsi="宋体" w:cs="宋体" w:hint="default"/>
          <w:szCs w:val="21"/>
        </w:rPr>
      </w:pPr>
      <w:r>
        <w:rPr>
          <w:szCs w:val="21"/>
        </w:rPr>
        <w:t>9.4</w:t>
      </w:r>
      <w:r>
        <w:t xml:space="preserve"> 其它废弃物</w:t>
      </w:r>
    </w:p>
    <w:p w:rsidR="004854FB" w:rsidRDefault="004C2F79" w:rsidP="00893CB7">
      <w:pPr>
        <w:adjustRightInd w:val="0"/>
        <w:snapToGrid w:val="0"/>
        <w:spacing w:line="360" w:lineRule="auto"/>
        <w:ind w:firstLineChars="200" w:firstLine="420"/>
        <w:rPr>
          <w:rFonts w:ascii="黑体" w:eastAsia="宋体" w:hAnsi="黑体" w:cs="黑体"/>
          <w:szCs w:val="21"/>
        </w:rPr>
      </w:pPr>
      <w:r>
        <w:rPr>
          <w:rFonts w:ascii="宋体" w:eastAsia="宋体" w:hAnsi="宋体" w:cs="宋体" w:hint="eastAsia"/>
          <w:szCs w:val="21"/>
        </w:rPr>
        <w:t>其它可利用的废弃物（</w:t>
      </w:r>
      <w:r>
        <w:rPr>
          <w:rFonts w:ascii="Times New Roman" w:eastAsia="宋体" w:hAnsi="Times New Roman" w:cs="Times New Roman"/>
          <w:szCs w:val="21"/>
        </w:rPr>
        <w:t>破损包材、清洁用品、破损工具等</w:t>
      </w:r>
      <w:r>
        <w:rPr>
          <w:rFonts w:ascii="Times New Roman" w:eastAsia="宋体" w:hAnsi="Times New Roman" w:cs="Times New Roman" w:hint="eastAsia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t>，及时清理分类收集，转</w:t>
      </w:r>
      <w:r>
        <w:rPr>
          <w:rFonts w:ascii="Times New Roman" w:eastAsia="宋体" w:hAnsi="Times New Roman" w:cs="Times New Roman" w:hint="eastAsia"/>
          <w:szCs w:val="21"/>
        </w:rPr>
        <w:t>由</w:t>
      </w:r>
      <w:r>
        <w:rPr>
          <w:rFonts w:ascii="Times New Roman" w:eastAsia="宋体" w:hAnsi="Times New Roman" w:cs="Times New Roman"/>
          <w:szCs w:val="21"/>
        </w:rPr>
        <w:t>资源化回收利用</w:t>
      </w:r>
      <w:r>
        <w:rPr>
          <w:rFonts w:ascii="Times New Roman" w:eastAsia="宋体" w:hAnsi="Times New Roman" w:cs="Times New Roman" w:hint="eastAsia"/>
          <w:szCs w:val="21"/>
        </w:rPr>
        <w:t>。不可再利用的废弃物，及</w:t>
      </w:r>
      <w:r>
        <w:rPr>
          <w:rFonts w:ascii="Times New Roman" w:eastAsia="宋体" w:hAnsi="Times New Roman" w:cs="Times New Roman"/>
          <w:szCs w:val="21"/>
        </w:rPr>
        <w:t>时收集</w:t>
      </w:r>
      <w:r>
        <w:rPr>
          <w:rFonts w:ascii="Times New Roman" w:eastAsia="宋体" w:hAnsi="Times New Roman" w:cs="Times New Roman" w:hint="eastAsia"/>
          <w:szCs w:val="21"/>
        </w:rPr>
        <w:t>后转运至公共垃圾站进行处理。</w:t>
      </w:r>
    </w:p>
    <w:p w:rsidR="004854FB" w:rsidRPr="00893CB7" w:rsidRDefault="004C2F79" w:rsidP="00893CB7">
      <w:pPr>
        <w:pStyle w:val="1"/>
        <w:rPr>
          <w:rFonts w:hint="default"/>
        </w:rPr>
      </w:pPr>
      <w:r>
        <w:t>10 生产档案管理</w:t>
      </w:r>
    </w:p>
    <w:p w:rsidR="004854FB" w:rsidRPr="00893CB7" w:rsidRDefault="004C2F79" w:rsidP="00893CB7">
      <w:pPr>
        <w:pStyle w:val="2"/>
        <w:rPr>
          <w:rFonts w:hint="default"/>
        </w:rPr>
      </w:pPr>
      <w:r>
        <w:t>10.1 加工档案</w:t>
      </w:r>
    </w:p>
    <w:p w:rsidR="004854FB" w:rsidRDefault="004C2F79" w:rsidP="00893CB7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eastAsia="宋体" w:hAnsi="宋体" w:cs="Times New Roman"/>
          <w:kern w:val="0"/>
          <w:szCs w:val="21"/>
        </w:rPr>
      </w:pPr>
      <w:r>
        <w:rPr>
          <w:rFonts w:ascii="Times New Roman" w:eastAsia="宋体" w:hAnsi="宋体" w:cs="Times New Roman"/>
          <w:kern w:val="0"/>
          <w:szCs w:val="21"/>
        </w:rPr>
        <w:t>建立绿色食品</w:t>
      </w:r>
      <w:r>
        <w:rPr>
          <w:rFonts w:ascii="Times New Roman" w:eastAsia="宋体" w:hAnsi="宋体" w:cs="Times New Roman" w:hint="eastAsia"/>
          <w:kern w:val="0"/>
          <w:szCs w:val="21"/>
        </w:rPr>
        <w:t>山楂制品（果糕类）产品</w:t>
      </w:r>
      <w:r>
        <w:rPr>
          <w:rFonts w:ascii="Times New Roman" w:eastAsia="宋体" w:hAnsi="宋体" w:cs="Times New Roman"/>
          <w:kern w:val="0"/>
          <w:szCs w:val="21"/>
        </w:rPr>
        <w:t>生产档案，包括质量管理体系文件、生产投入品采购、出入库、使用记录、加工记录、生产加工计划、产地合同、生产加工数量、生产过程控制、产品检测报告、人员健康体检报告与应急情况处理等控制文件</w:t>
      </w:r>
      <w:r>
        <w:rPr>
          <w:rFonts w:ascii="Times New Roman" w:eastAsia="宋体" w:hAnsi="宋体" w:cs="Times New Roman" w:hint="eastAsia"/>
          <w:kern w:val="0"/>
          <w:szCs w:val="21"/>
        </w:rPr>
        <w:t>、记录等</w:t>
      </w:r>
      <w:r>
        <w:rPr>
          <w:rFonts w:ascii="Times New Roman" w:eastAsia="宋体" w:hAnsi="宋体" w:cs="Times New Roman"/>
          <w:kern w:val="0"/>
          <w:szCs w:val="21"/>
        </w:rPr>
        <w:t>。</w:t>
      </w:r>
      <w:r>
        <w:rPr>
          <w:rFonts w:ascii="Times New Roman" w:eastAsia="宋体" w:hAnsi="Times New Roman" w:cs="Times New Roman" w:hint="eastAsia"/>
          <w:szCs w:val="21"/>
        </w:rPr>
        <w:t>内容</w:t>
      </w:r>
      <w:r>
        <w:rPr>
          <w:rFonts w:ascii="Times New Roman" w:eastAsia="宋体" w:hAnsi="Times New Roman" w:cs="Times New Roman" w:hint="eastAsia"/>
        </w:rPr>
        <w:t>真实、准确、规范，字迹清楚、不得损坏、丢失、随意涂改。</w:t>
      </w:r>
    </w:p>
    <w:p w:rsidR="004854FB" w:rsidRPr="00893CB7" w:rsidRDefault="004C2F79" w:rsidP="00893CB7">
      <w:pPr>
        <w:pStyle w:val="2"/>
        <w:rPr>
          <w:rFonts w:hint="default"/>
        </w:rPr>
      </w:pPr>
      <w:r>
        <w:t>10.2 可追溯体系</w:t>
      </w:r>
    </w:p>
    <w:p w:rsidR="004854FB" w:rsidRDefault="004C2F79" w:rsidP="00893CB7">
      <w:pPr>
        <w:autoSpaceDE w:val="0"/>
        <w:autoSpaceDN w:val="0"/>
        <w:adjustRightInd w:val="0"/>
        <w:snapToGrid w:val="0"/>
        <w:spacing w:line="360" w:lineRule="auto"/>
        <w:ind w:firstLineChars="200" w:firstLine="420"/>
      </w:pPr>
      <w:r>
        <w:rPr>
          <w:rFonts w:ascii="Times New Roman" w:eastAsia="宋体" w:hAnsi="宋体" w:cs="Times New Roman"/>
          <w:szCs w:val="21"/>
        </w:rPr>
        <w:t>按照生产加工企业追溯制度要求建立</w:t>
      </w:r>
      <w:r>
        <w:rPr>
          <w:rFonts w:hAnsi="宋体" w:cs="Times New Roman" w:hint="eastAsia"/>
          <w:szCs w:val="21"/>
        </w:rPr>
        <w:t>绿色食品</w:t>
      </w:r>
      <w:r>
        <w:rPr>
          <w:rFonts w:ascii="Times New Roman" w:eastAsia="宋体" w:hAnsi="宋体" w:cs="Times New Roman"/>
          <w:kern w:val="0"/>
          <w:szCs w:val="21"/>
        </w:rPr>
        <w:t>可追溯体系，生产、加工、储藏、销售等环节，有连续的、可追踪的生产批号系统，根据批号系统能查询到完整的档案记录</w:t>
      </w:r>
      <w:r>
        <w:rPr>
          <w:rFonts w:ascii="Times New Roman" w:eastAsia="宋体" w:hAnsi="宋体" w:cs="Times New Roman" w:hint="eastAsia"/>
          <w:kern w:val="0"/>
          <w:szCs w:val="21"/>
        </w:rPr>
        <w:t>，</w:t>
      </w:r>
      <w:r>
        <w:rPr>
          <w:rFonts w:ascii="Times New Roman" w:eastAsia="宋体" w:hint="eastAsia"/>
          <w:szCs w:val="20"/>
        </w:rPr>
        <w:t>确保从原料采购到产品销售各环节可进行有效追溯。</w:t>
      </w:r>
    </w:p>
    <w:p w:rsidR="004854FB" w:rsidRPr="00893CB7" w:rsidRDefault="004C2F79" w:rsidP="00893CB7">
      <w:pPr>
        <w:pStyle w:val="2"/>
        <w:rPr>
          <w:rFonts w:hint="default"/>
        </w:rPr>
      </w:pPr>
      <w:r>
        <w:t>10.3 档案保管</w:t>
      </w:r>
    </w:p>
    <w:p w:rsidR="004854FB" w:rsidRDefault="004C2F79" w:rsidP="00893CB7">
      <w:pPr>
        <w:pStyle w:val="10"/>
        <w:adjustRightInd w:val="0"/>
        <w:snapToGrid w:val="0"/>
        <w:spacing w:line="360" w:lineRule="auto"/>
        <w:rPr>
          <w:b/>
          <w:kern w:val="0"/>
        </w:rPr>
      </w:pPr>
      <w:r>
        <w:rPr>
          <w:rFonts w:hint="eastAsia"/>
        </w:rPr>
        <w:t>所有</w:t>
      </w:r>
      <w:r>
        <w:t>档案资料由专人保管</w:t>
      </w:r>
      <w:r>
        <w:rPr>
          <w:rFonts w:hint="eastAsia"/>
        </w:rPr>
        <w:t>，</w:t>
      </w:r>
      <w:r>
        <w:rPr>
          <w:rFonts w:hint="eastAsia"/>
          <w:szCs w:val="20"/>
        </w:rPr>
        <w:t>至少保存</w:t>
      </w:r>
      <w:r>
        <w:rPr>
          <w:szCs w:val="20"/>
        </w:rPr>
        <w:t>3</w:t>
      </w:r>
      <w:r>
        <w:rPr>
          <w:rFonts w:hint="eastAsia"/>
          <w:szCs w:val="20"/>
        </w:rPr>
        <w:t>年</w:t>
      </w:r>
      <w:r>
        <w:t>以上</w:t>
      </w:r>
      <w:r>
        <w:rPr>
          <w:rFonts w:hint="eastAsia"/>
        </w:rPr>
        <w:t>；</w:t>
      </w:r>
      <w:r>
        <w:rPr>
          <w:rFonts w:hint="eastAsia"/>
          <w:szCs w:val="20"/>
        </w:rPr>
        <w:t>同时可生成电子文档保存。</w:t>
      </w:r>
    </w:p>
    <w:p w:rsidR="004854FB" w:rsidRDefault="004C2F79">
      <w:pPr>
        <w:pStyle w:val="aa"/>
        <w:spacing w:beforeLines="50" w:before="156" w:afterLines="50" w:after="156" w:line="400" w:lineRule="exact"/>
        <w:ind w:firstLine="420"/>
        <w:jc w:val="center"/>
        <w:rPr>
          <w:rFonts w:asciiTheme="majorEastAsia" w:eastAsiaTheme="majorEastAsia" w:hAnsiTheme="majorEastAsia" w:cstheme="majorEastAsia"/>
          <w:szCs w:val="21"/>
        </w:rPr>
      </w:pPr>
      <w:r>
        <w:rPr>
          <w:noProof/>
        </w:rPr>
        <w:drawing>
          <wp:inline distT="0" distB="0" distL="114300" distR="114300">
            <wp:extent cx="1504950" cy="19050"/>
            <wp:effectExtent l="0" t="0" r="3810" b="3810"/>
            <wp:docPr id="3" name="图片 1" descr="说明: endli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说明: endline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854FB">
      <w:footerReference w:type="default" r:id="rId16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A69" w:rsidRDefault="003D1A69">
      <w:r>
        <w:separator/>
      </w:r>
    </w:p>
  </w:endnote>
  <w:endnote w:type="continuationSeparator" w:id="0">
    <w:p w:rsidR="003D1A69" w:rsidRDefault="003D1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8983009"/>
    </w:sdtPr>
    <w:sdtEndPr/>
    <w:sdtContent>
      <w:p w:rsidR="004854FB" w:rsidRDefault="004C2F79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7CB" w:rsidRPr="004257CB">
          <w:rPr>
            <w:noProof/>
            <w:lang w:val="zh-CN"/>
          </w:rPr>
          <w:t>8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4FB" w:rsidRDefault="004854FB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5745345"/>
    </w:sdtPr>
    <w:sdtEndPr/>
    <w:sdtContent>
      <w:p w:rsidR="004854FB" w:rsidRDefault="004C2F7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I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4094425"/>
    </w:sdtPr>
    <w:sdtEndPr/>
    <w:sdtContent>
      <w:p w:rsidR="004854FB" w:rsidRDefault="004C2F7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7CB" w:rsidRPr="004257CB">
          <w:rPr>
            <w:noProof/>
            <w:lang w:val="zh-CN"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A69" w:rsidRDefault="003D1A69">
      <w:r>
        <w:separator/>
      </w:r>
    </w:p>
  </w:footnote>
  <w:footnote w:type="continuationSeparator" w:id="0">
    <w:p w:rsidR="003D1A69" w:rsidRDefault="003D1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4FB" w:rsidRDefault="004C2F79">
    <w:pPr>
      <w:pStyle w:val="a8"/>
      <w:pBdr>
        <w:bottom w:val="none" w:sz="0" w:space="0" w:color="auto"/>
      </w:pBdr>
    </w:pPr>
    <w:r>
      <w:rPr>
        <w:noProof/>
      </w:rPr>
      <w:drawing>
        <wp:anchor distT="0" distB="0" distL="114300" distR="114300" simplePos="0" relativeHeight="25166233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675" cy="4914900"/>
          <wp:effectExtent l="0" t="0" r="0" b="0"/>
          <wp:wrapNone/>
          <wp:docPr id="1" name="WordPictureWatermark35651517" descr="绿标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651517" descr="绿标png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3675" cy="491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4FB" w:rsidRDefault="004C2F79">
    <w:pPr>
      <w:pStyle w:val="a8"/>
      <w:pBdr>
        <w:bottom w:val="none" w:sz="0" w:space="0" w:color="auto"/>
      </w:pBdr>
    </w:pPr>
    <w:r>
      <w:rPr>
        <w:noProof/>
      </w:rPr>
      <w:drawing>
        <wp:anchor distT="0" distB="0" distL="114300" distR="114300" simplePos="0" relativeHeight="25166336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675" cy="4914900"/>
          <wp:effectExtent l="0" t="0" r="0" b="0"/>
          <wp:wrapNone/>
          <wp:docPr id="4" name="WordPictureWatermark35651518" descr="绿标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5651518" descr="绿标png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3675" cy="491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4FB" w:rsidRDefault="004C2F79">
    <w:pPr>
      <w:pStyle w:val="a8"/>
      <w:pBdr>
        <w:bottom w:val="none" w:sz="0" w:space="0" w:color="auto"/>
      </w:pBdr>
      <w:jc w:val="right"/>
      <w:rPr>
        <w:sz w:val="21"/>
        <w:szCs w:val="21"/>
      </w:rPr>
    </w:pPr>
    <w:r>
      <w:rPr>
        <w:rFonts w:eastAsia="黑体"/>
        <w:noProof/>
        <w:kern w:val="0"/>
        <w:sz w:val="21"/>
        <w:szCs w:val="21"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675" cy="4914900"/>
          <wp:effectExtent l="0" t="0" r="0" b="0"/>
          <wp:wrapNone/>
          <wp:docPr id="2" name="WordPictureWatermark35651516" descr="绿标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5651516" descr="绿标png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3675" cy="491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eastAsia="黑体"/>
        <w:kern w:val="0"/>
        <w:sz w:val="21"/>
        <w:szCs w:val="21"/>
      </w:rPr>
      <w:t>GFGC 20</w:t>
    </w:r>
    <w:r>
      <w:rPr>
        <w:rFonts w:ascii="黑体" w:eastAsia="黑体" w:hAnsi="黑体" w:cs="宋体" w:hint="eastAsia"/>
        <w:sz w:val="21"/>
        <w:szCs w:val="21"/>
      </w:rPr>
      <w:t>24</w:t>
    </w:r>
    <w:r>
      <w:rPr>
        <w:rFonts w:eastAsia="黑体"/>
        <w:kern w:val="0"/>
        <w:sz w:val="21"/>
        <w:szCs w:val="21"/>
      </w:rPr>
      <w:t>A</w:t>
    </w:r>
    <w:r>
      <w:rPr>
        <w:rFonts w:ascii="黑体" w:eastAsia="黑体" w:hAnsi="黑体" w:cs="宋体" w:hint="eastAsia"/>
        <w:sz w:val="21"/>
        <w:szCs w:val="21"/>
      </w:rPr>
      <w:t>276</w:t>
    </w:r>
  </w:p>
  <w:p w:rsidR="004854FB" w:rsidRDefault="004854FB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xMjExNTlkNmM5MzEwMGUwZTdhMGQ2MjhhZWY2NDMifQ=="/>
  </w:docVars>
  <w:rsids>
    <w:rsidRoot w:val="00F738EF"/>
    <w:rsid w:val="B5BBC7A5"/>
    <w:rsid w:val="B6F7A700"/>
    <w:rsid w:val="B7EF8169"/>
    <w:rsid w:val="BAE72E31"/>
    <w:rsid w:val="BCFDE6CE"/>
    <w:rsid w:val="BD5AF350"/>
    <w:rsid w:val="BDFE359B"/>
    <w:rsid w:val="BECC6CE4"/>
    <w:rsid w:val="BEFB8227"/>
    <w:rsid w:val="BFEF95AF"/>
    <w:rsid w:val="BFF59860"/>
    <w:rsid w:val="C6A77386"/>
    <w:rsid w:val="C7E51790"/>
    <w:rsid w:val="C7FB4590"/>
    <w:rsid w:val="C7FF1C25"/>
    <w:rsid w:val="CBF6EF54"/>
    <w:rsid w:val="CBFF2903"/>
    <w:rsid w:val="CCAFD55E"/>
    <w:rsid w:val="CD54D746"/>
    <w:rsid w:val="CE37FE73"/>
    <w:rsid w:val="CF7D848D"/>
    <w:rsid w:val="D1FBD044"/>
    <w:rsid w:val="D53B1534"/>
    <w:rsid w:val="D5BFEE65"/>
    <w:rsid w:val="D7CBCFFA"/>
    <w:rsid w:val="D9236036"/>
    <w:rsid w:val="D97F135F"/>
    <w:rsid w:val="DAFFAD65"/>
    <w:rsid w:val="DBDE1A30"/>
    <w:rsid w:val="DBEDFFF3"/>
    <w:rsid w:val="DBFF2F17"/>
    <w:rsid w:val="DDFD8609"/>
    <w:rsid w:val="DDFF0BAC"/>
    <w:rsid w:val="DE9F2B36"/>
    <w:rsid w:val="DECBD0F7"/>
    <w:rsid w:val="DEE563EB"/>
    <w:rsid w:val="DEEDFB1F"/>
    <w:rsid w:val="DEFF5958"/>
    <w:rsid w:val="DF96A4F9"/>
    <w:rsid w:val="DFBED4B8"/>
    <w:rsid w:val="DFD6BB09"/>
    <w:rsid w:val="DFFD3B32"/>
    <w:rsid w:val="DFFF7D3A"/>
    <w:rsid w:val="E0E76A66"/>
    <w:rsid w:val="E11DF865"/>
    <w:rsid w:val="E2911C73"/>
    <w:rsid w:val="E3B9ABF2"/>
    <w:rsid w:val="E3D240E2"/>
    <w:rsid w:val="E7FE0556"/>
    <w:rsid w:val="E7FF42A8"/>
    <w:rsid w:val="EBDF3565"/>
    <w:rsid w:val="EBEDB398"/>
    <w:rsid w:val="EDFF6E96"/>
    <w:rsid w:val="EF7D1786"/>
    <w:rsid w:val="EF961222"/>
    <w:rsid w:val="EFB710F1"/>
    <w:rsid w:val="EFFF25B3"/>
    <w:rsid w:val="F1DC2DE1"/>
    <w:rsid w:val="F1F911A0"/>
    <w:rsid w:val="F27DAEAF"/>
    <w:rsid w:val="F2D60336"/>
    <w:rsid w:val="F33732CD"/>
    <w:rsid w:val="F4FE5827"/>
    <w:rsid w:val="F4FF5306"/>
    <w:rsid w:val="F5FBAE26"/>
    <w:rsid w:val="F6BB0998"/>
    <w:rsid w:val="F6FFE035"/>
    <w:rsid w:val="F73FCAA7"/>
    <w:rsid w:val="F78748E6"/>
    <w:rsid w:val="F79AE544"/>
    <w:rsid w:val="F7B4703E"/>
    <w:rsid w:val="F7BF5AB6"/>
    <w:rsid w:val="F7CFC661"/>
    <w:rsid w:val="F7DF6E9E"/>
    <w:rsid w:val="F7F3D691"/>
    <w:rsid w:val="F7FE8D6A"/>
    <w:rsid w:val="FA621B86"/>
    <w:rsid w:val="FAFF8229"/>
    <w:rsid w:val="FB7F125B"/>
    <w:rsid w:val="FBBDDB85"/>
    <w:rsid w:val="FBDEFEEA"/>
    <w:rsid w:val="FBF737D7"/>
    <w:rsid w:val="FBF7587E"/>
    <w:rsid w:val="FBFD138C"/>
    <w:rsid w:val="FBFE9C23"/>
    <w:rsid w:val="FBFF4048"/>
    <w:rsid w:val="FBFF4E33"/>
    <w:rsid w:val="FBFFD920"/>
    <w:rsid w:val="FCF56A33"/>
    <w:rsid w:val="FCFB3D75"/>
    <w:rsid w:val="FD3787F4"/>
    <w:rsid w:val="FD5AAAA5"/>
    <w:rsid w:val="FD77EBA8"/>
    <w:rsid w:val="FDEF793D"/>
    <w:rsid w:val="FDFFDE09"/>
    <w:rsid w:val="FE6D17E6"/>
    <w:rsid w:val="FEB73110"/>
    <w:rsid w:val="FEF7DFD2"/>
    <w:rsid w:val="FEFD3FC5"/>
    <w:rsid w:val="FEFDE25F"/>
    <w:rsid w:val="FEFEB61D"/>
    <w:rsid w:val="FF47248C"/>
    <w:rsid w:val="FF5E8F22"/>
    <w:rsid w:val="FF62B906"/>
    <w:rsid w:val="FF67CEBF"/>
    <w:rsid w:val="FF6FDA06"/>
    <w:rsid w:val="FF7EB08C"/>
    <w:rsid w:val="FF7F6311"/>
    <w:rsid w:val="FF7F6833"/>
    <w:rsid w:val="FF8775C4"/>
    <w:rsid w:val="FFB9275E"/>
    <w:rsid w:val="FFBAECBD"/>
    <w:rsid w:val="FFBF0396"/>
    <w:rsid w:val="FFC4012F"/>
    <w:rsid w:val="FFCD24C5"/>
    <w:rsid w:val="FFCF4CF4"/>
    <w:rsid w:val="FFD37278"/>
    <w:rsid w:val="FFD67F4F"/>
    <w:rsid w:val="FFDD3949"/>
    <w:rsid w:val="FFDD6506"/>
    <w:rsid w:val="FFDEA1F1"/>
    <w:rsid w:val="FFE36D9E"/>
    <w:rsid w:val="FFEC69B4"/>
    <w:rsid w:val="FFF30DF3"/>
    <w:rsid w:val="FFF43B7D"/>
    <w:rsid w:val="FFF5218A"/>
    <w:rsid w:val="FFF63E1F"/>
    <w:rsid w:val="FFF7852E"/>
    <w:rsid w:val="FFF798EC"/>
    <w:rsid w:val="FFF7E42E"/>
    <w:rsid w:val="FFFBBC3A"/>
    <w:rsid w:val="FFFCC936"/>
    <w:rsid w:val="FFFDAE2C"/>
    <w:rsid w:val="00001C88"/>
    <w:rsid w:val="00041F40"/>
    <w:rsid w:val="000555BF"/>
    <w:rsid w:val="00066736"/>
    <w:rsid w:val="000913B0"/>
    <w:rsid w:val="00094CE2"/>
    <w:rsid w:val="00141E4D"/>
    <w:rsid w:val="00252402"/>
    <w:rsid w:val="00273DEA"/>
    <w:rsid w:val="003174E0"/>
    <w:rsid w:val="00331667"/>
    <w:rsid w:val="003742D3"/>
    <w:rsid w:val="003D1A69"/>
    <w:rsid w:val="00414C94"/>
    <w:rsid w:val="004257CB"/>
    <w:rsid w:val="00460D16"/>
    <w:rsid w:val="004854FB"/>
    <w:rsid w:val="004C2F79"/>
    <w:rsid w:val="004D453D"/>
    <w:rsid w:val="005242B4"/>
    <w:rsid w:val="00542281"/>
    <w:rsid w:val="00570063"/>
    <w:rsid w:val="0057620B"/>
    <w:rsid w:val="005E13F2"/>
    <w:rsid w:val="00610FB7"/>
    <w:rsid w:val="00625E41"/>
    <w:rsid w:val="00635447"/>
    <w:rsid w:val="006675EA"/>
    <w:rsid w:val="00721762"/>
    <w:rsid w:val="0072243C"/>
    <w:rsid w:val="00736318"/>
    <w:rsid w:val="00752345"/>
    <w:rsid w:val="007C42C6"/>
    <w:rsid w:val="007E3899"/>
    <w:rsid w:val="00806A0B"/>
    <w:rsid w:val="0081365B"/>
    <w:rsid w:val="00893CB7"/>
    <w:rsid w:val="008954D1"/>
    <w:rsid w:val="008B6624"/>
    <w:rsid w:val="00946CA8"/>
    <w:rsid w:val="009653F9"/>
    <w:rsid w:val="00A064CF"/>
    <w:rsid w:val="00A97115"/>
    <w:rsid w:val="00AB2AAE"/>
    <w:rsid w:val="00AC488E"/>
    <w:rsid w:val="00B525E1"/>
    <w:rsid w:val="00BA354B"/>
    <w:rsid w:val="00BC5D65"/>
    <w:rsid w:val="00C47816"/>
    <w:rsid w:val="00C632C8"/>
    <w:rsid w:val="00CC518C"/>
    <w:rsid w:val="00CF3DF9"/>
    <w:rsid w:val="00D30F29"/>
    <w:rsid w:val="00D419A8"/>
    <w:rsid w:val="00D441F5"/>
    <w:rsid w:val="00DD0F0D"/>
    <w:rsid w:val="00E47169"/>
    <w:rsid w:val="00E74AAC"/>
    <w:rsid w:val="00ED06D8"/>
    <w:rsid w:val="00ED3EF6"/>
    <w:rsid w:val="00ED5F3C"/>
    <w:rsid w:val="00F00986"/>
    <w:rsid w:val="00F041F5"/>
    <w:rsid w:val="00F738EF"/>
    <w:rsid w:val="00FA1FE0"/>
    <w:rsid w:val="00FF1E93"/>
    <w:rsid w:val="01302199"/>
    <w:rsid w:val="018372E9"/>
    <w:rsid w:val="01D408F4"/>
    <w:rsid w:val="02367F8F"/>
    <w:rsid w:val="029F0F02"/>
    <w:rsid w:val="03B03841"/>
    <w:rsid w:val="045E405C"/>
    <w:rsid w:val="04A63ECF"/>
    <w:rsid w:val="04DC643E"/>
    <w:rsid w:val="069074E0"/>
    <w:rsid w:val="07B547D1"/>
    <w:rsid w:val="07CA1CDB"/>
    <w:rsid w:val="0A183EA3"/>
    <w:rsid w:val="0A6842D0"/>
    <w:rsid w:val="0A8530D4"/>
    <w:rsid w:val="0BA35D4C"/>
    <w:rsid w:val="0D5371E2"/>
    <w:rsid w:val="0E7C24A3"/>
    <w:rsid w:val="0F017E58"/>
    <w:rsid w:val="0F2700A3"/>
    <w:rsid w:val="0F7F5057"/>
    <w:rsid w:val="0FBF1664"/>
    <w:rsid w:val="101E05E5"/>
    <w:rsid w:val="10A74266"/>
    <w:rsid w:val="10C913F2"/>
    <w:rsid w:val="117466BD"/>
    <w:rsid w:val="135F09A4"/>
    <w:rsid w:val="136D54A6"/>
    <w:rsid w:val="144F454F"/>
    <w:rsid w:val="14E55DC5"/>
    <w:rsid w:val="153951E6"/>
    <w:rsid w:val="15944A4A"/>
    <w:rsid w:val="15BC146E"/>
    <w:rsid w:val="176518F8"/>
    <w:rsid w:val="17FF439F"/>
    <w:rsid w:val="19F56E38"/>
    <w:rsid w:val="1AC770FE"/>
    <w:rsid w:val="1B9C027D"/>
    <w:rsid w:val="1C2F8077"/>
    <w:rsid w:val="1D1D719C"/>
    <w:rsid w:val="1DB93DBF"/>
    <w:rsid w:val="1DEFA724"/>
    <w:rsid w:val="1E201112"/>
    <w:rsid w:val="1FBA3C01"/>
    <w:rsid w:val="1FE7F8EF"/>
    <w:rsid w:val="20D858B3"/>
    <w:rsid w:val="23AD1279"/>
    <w:rsid w:val="23AE0B4E"/>
    <w:rsid w:val="23B811BB"/>
    <w:rsid w:val="240A7101"/>
    <w:rsid w:val="246501B2"/>
    <w:rsid w:val="24A25334"/>
    <w:rsid w:val="255C0E44"/>
    <w:rsid w:val="257FF545"/>
    <w:rsid w:val="26044497"/>
    <w:rsid w:val="26E507F8"/>
    <w:rsid w:val="273D2D05"/>
    <w:rsid w:val="27A71E1F"/>
    <w:rsid w:val="27ED9360"/>
    <w:rsid w:val="280C22E7"/>
    <w:rsid w:val="293F5D0E"/>
    <w:rsid w:val="295A0DDD"/>
    <w:rsid w:val="29663529"/>
    <w:rsid w:val="29DB4A3E"/>
    <w:rsid w:val="2AE23DCB"/>
    <w:rsid w:val="2B76EE14"/>
    <w:rsid w:val="2BED238C"/>
    <w:rsid w:val="2D191146"/>
    <w:rsid w:val="2D8646FD"/>
    <w:rsid w:val="2DDE9321"/>
    <w:rsid w:val="2EA0500A"/>
    <w:rsid w:val="2EDE0530"/>
    <w:rsid w:val="2F571061"/>
    <w:rsid w:val="2FF53618"/>
    <w:rsid w:val="2FF6D582"/>
    <w:rsid w:val="2FFF971C"/>
    <w:rsid w:val="31684F64"/>
    <w:rsid w:val="319C0B7F"/>
    <w:rsid w:val="31A47DCF"/>
    <w:rsid w:val="31FDCFD0"/>
    <w:rsid w:val="327942D6"/>
    <w:rsid w:val="32FC6D95"/>
    <w:rsid w:val="33486065"/>
    <w:rsid w:val="339166E3"/>
    <w:rsid w:val="33C375CB"/>
    <w:rsid w:val="34622E67"/>
    <w:rsid w:val="351F7AFD"/>
    <w:rsid w:val="35770CDA"/>
    <w:rsid w:val="36FF5E9E"/>
    <w:rsid w:val="376A83E7"/>
    <w:rsid w:val="37EF8B20"/>
    <w:rsid w:val="37FF7478"/>
    <w:rsid w:val="384D4B60"/>
    <w:rsid w:val="397321C6"/>
    <w:rsid w:val="39811BD0"/>
    <w:rsid w:val="39B765AB"/>
    <w:rsid w:val="3AE354DB"/>
    <w:rsid w:val="3B7BE414"/>
    <w:rsid w:val="3BFF52C0"/>
    <w:rsid w:val="3C3F80F6"/>
    <w:rsid w:val="3C461E13"/>
    <w:rsid w:val="3CCD3944"/>
    <w:rsid w:val="3CD17B1C"/>
    <w:rsid w:val="3D1FE471"/>
    <w:rsid w:val="3EBFA58A"/>
    <w:rsid w:val="3EEF17FA"/>
    <w:rsid w:val="3EF73A44"/>
    <w:rsid w:val="3EFF1E34"/>
    <w:rsid w:val="3FA5FD05"/>
    <w:rsid w:val="3FB0522E"/>
    <w:rsid w:val="3FB1A35A"/>
    <w:rsid w:val="3FCD1C2D"/>
    <w:rsid w:val="3FD9CA7B"/>
    <w:rsid w:val="3FDF1DC0"/>
    <w:rsid w:val="40141886"/>
    <w:rsid w:val="40B121CA"/>
    <w:rsid w:val="40D118D1"/>
    <w:rsid w:val="41F65C7A"/>
    <w:rsid w:val="428808A0"/>
    <w:rsid w:val="42D9753D"/>
    <w:rsid w:val="446F7A2D"/>
    <w:rsid w:val="45FA27BB"/>
    <w:rsid w:val="46250CEB"/>
    <w:rsid w:val="462D316D"/>
    <w:rsid w:val="475D9D51"/>
    <w:rsid w:val="479B56D0"/>
    <w:rsid w:val="486B290F"/>
    <w:rsid w:val="48F540BD"/>
    <w:rsid w:val="49EF03A8"/>
    <w:rsid w:val="4B120541"/>
    <w:rsid w:val="4B7E83A2"/>
    <w:rsid w:val="4BC002A9"/>
    <w:rsid w:val="4BE23923"/>
    <w:rsid w:val="4C134946"/>
    <w:rsid w:val="4D1F0243"/>
    <w:rsid w:val="4DB505B2"/>
    <w:rsid w:val="4E789EA8"/>
    <w:rsid w:val="4E7E079F"/>
    <w:rsid w:val="4EE7917D"/>
    <w:rsid w:val="4F5E39AC"/>
    <w:rsid w:val="4F654D53"/>
    <w:rsid w:val="4F7EDC1D"/>
    <w:rsid w:val="4FFFE672"/>
    <w:rsid w:val="514559CF"/>
    <w:rsid w:val="520613A4"/>
    <w:rsid w:val="529A65F6"/>
    <w:rsid w:val="543B4F76"/>
    <w:rsid w:val="548B2661"/>
    <w:rsid w:val="54A43723"/>
    <w:rsid w:val="55FCC12D"/>
    <w:rsid w:val="55FFEF08"/>
    <w:rsid w:val="56E17DE4"/>
    <w:rsid w:val="56EEBEF2"/>
    <w:rsid w:val="56FB94FE"/>
    <w:rsid w:val="576F75B7"/>
    <w:rsid w:val="5773C3C9"/>
    <w:rsid w:val="57F83D87"/>
    <w:rsid w:val="597936DB"/>
    <w:rsid w:val="5A0C4A03"/>
    <w:rsid w:val="5A37F298"/>
    <w:rsid w:val="5B031974"/>
    <w:rsid w:val="5B1A64ED"/>
    <w:rsid w:val="5BAB63C0"/>
    <w:rsid w:val="5CFE19F0"/>
    <w:rsid w:val="5D4A34CD"/>
    <w:rsid w:val="5D7F9A5D"/>
    <w:rsid w:val="5DA4088C"/>
    <w:rsid w:val="5DD72A11"/>
    <w:rsid w:val="5E0F22F9"/>
    <w:rsid w:val="5EBF2212"/>
    <w:rsid w:val="5EF6D456"/>
    <w:rsid w:val="5EFD004B"/>
    <w:rsid w:val="5F50072F"/>
    <w:rsid w:val="5F5D1FEE"/>
    <w:rsid w:val="5F5E8C04"/>
    <w:rsid w:val="5F7B4CBA"/>
    <w:rsid w:val="5F7F25F5"/>
    <w:rsid w:val="5FACFAF4"/>
    <w:rsid w:val="5FB9FC2B"/>
    <w:rsid w:val="5FE7B74B"/>
    <w:rsid w:val="5FF75028"/>
    <w:rsid w:val="5FF7BC07"/>
    <w:rsid w:val="5FFB4CF9"/>
    <w:rsid w:val="5FFF8DF2"/>
    <w:rsid w:val="60967E19"/>
    <w:rsid w:val="60D25916"/>
    <w:rsid w:val="611C0BE1"/>
    <w:rsid w:val="62734DF4"/>
    <w:rsid w:val="627E745A"/>
    <w:rsid w:val="62CC31D5"/>
    <w:rsid w:val="62D54DA2"/>
    <w:rsid w:val="63CE4319"/>
    <w:rsid w:val="64A76B96"/>
    <w:rsid w:val="64B49E01"/>
    <w:rsid w:val="64D051A2"/>
    <w:rsid w:val="651B35B3"/>
    <w:rsid w:val="65817895"/>
    <w:rsid w:val="65A17F37"/>
    <w:rsid w:val="6687C0BE"/>
    <w:rsid w:val="66D165FA"/>
    <w:rsid w:val="66DC0340"/>
    <w:rsid w:val="676DF2C8"/>
    <w:rsid w:val="67AF8FEA"/>
    <w:rsid w:val="67BCB9A5"/>
    <w:rsid w:val="67CF1C95"/>
    <w:rsid w:val="69116DCE"/>
    <w:rsid w:val="69BBBAEA"/>
    <w:rsid w:val="6A6D445F"/>
    <w:rsid w:val="6A9C35C2"/>
    <w:rsid w:val="6B4448E9"/>
    <w:rsid w:val="6BDDADDF"/>
    <w:rsid w:val="6BFD4FD9"/>
    <w:rsid w:val="6BFFA886"/>
    <w:rsid w:val="6C381437"/>
    <w:rsid w:val="6CAD67A4"/>
    <w:rsid w:val="6D112F3C"/>
    <w:rsid w:val="6D6BB73B"/>
    <w:rsid w:val="6DF39F24"/>
    <w:rsid w:val="6DFC19E9"/>
    <w:rsid w:val="6DFDF2F4"/>
    <w:rsid w:val="6E3D3F6F"/>
    <w:rsid w:val="6E533D98"/>
    <w:rsid w:val="6ED00D4D"/>
    <w:rsid w:val="6EE175F6"/>
    <w:rsid w:val="6EFDF7AC"/>
    <w:rsid w:val="6F7E22ED"/>
    <w:rsid w:val="6F7FF68C"/>
    <w:rsid w:val="6FA2A5BC"/>
    <w:rsid w:val="6FA70108"/>
    <w:rsid w:val="6FAC6582"/>
    <w:rsid w:val="6FBF39C2"/>
    <w:rsid w:val="6FDBCD97"/>
    <w:rsid w:val="6FDFADD8"/>
    <w:rsid w:val="6FEFEA2A"/>
    <w:rsid w:val="71E9E859"/>
    <w:rsid w:val="71FF6D05"/>
    <w:rsid w:val="71FF89FF"/>
    <w:rsid w:val="71FF9658"/>
    <w:rsid w:val="722E12D5"/>
    <w:rsid w:val="7265055A"/>
    <w:rsid w:val="726B4944"/>
    <w:rsid w:val="72AB9916"/>
    <w:rsid w:val="72F50BC8"/>
    <w:rsid w:val="738F6BDC"/>
    <w:rsid w:val="73EF5D66"/>
    <w:rsid w:val="74063D07"/>
    <w:rsid w:val="748C1DB2"/>
    <w:rsid w:val="74FE075A"/>
    <w:rsid w:val="75044D01"/>
    <w:rsid w:val="751002ED"/>
    <w:rsid w:val="757DE775"/>
    <w:rsid w:val="759FD92A"/>
    <w:rsid w:val="75FFB62D"/>
    <w:rsid w:val="763D05E0"/>
    <w:rsid w:val="767DFC0C"/>
    <w:rsid w:val="76894936"/>
    <w:rsid w:val="76DDAA10"/>
    <w:rsid w:val="776F97B3"/>
    <w:rsid w:val="777D48DA"/>
    <w:rsid w:val="777FC1FD"/>
    <w:rsid w:val="77BCDC5A"/>
    <w:rsid w:val="77C3D97E"/>
    <w:rsid w:val="77DEBF4E"/>
    <w:rsid w:val="77EB4DDE"/>
    <w:rsid w:val="77EF583F"/>
    <w:rsid w:val="77F3C3CD"/>
    <w:rsid w:val="77FDD202"/>
    <w:rsid w:val="77FFAAAD"/>
    <w:rsid w:val="78BBBB0B"/>
    <w:rsid w:val="79130C58"/>
    <w:rsid w:val="793709C1"/>
    <w:rsid w:val="79374C0B"/>
    <w:rsid w:val="793E83CE"/>
    <w:rsid w:val="79D41054"/>
    <w:rsid w:val="79F93A46"/>
    <w:rsid w:val="7A077031"/>
    <w:rsid w:val="7AD00C70"/>
    <w:rsid w:val="7ADF4950"/>
    <w:rsid w:val="7AFA3DF7"/>
    <w:rsid w:val="7AFB9356"/>
    <w:rsid w:val="7B3E3055"/>
    <w:rsid w:val="7B5C3EF6"/>
    <w:rsid w:val="7B7F7D41"/>
    <w:rsid w:val="7BBDA6D7"/>
    <w:rsid w:val="7BC40083"/>
    <w:rsid w:val="7BD68687"/>
    <w:rsid w:val="7BFB4815"/>
    <w:rsid w:val="7BFF05E7"/>
    <w:rsid w:val="7BFFBD62"/>
    <w:rsid w:val="7C6F9C0F"/>
    <w:rsid w:val="7C6FA7DF"/>
    <w:rsid w:val="7CAF1D62"/>
    <w:rsid w:val="7CBA0C8E"/>
    <w:rsid w:val="7D600FA5"/>
    <w:rsid w:val="7D6E9506"/>
    <w:rsid w:val="7D927E87"/>
    <w:rsid w:val="7DCE42CC"/>
    <w:rsid w:val="7DEB7E19"/>
    <w:rsid w:val="7DFE09EE"/>
    <w:rsid w:val="7E1D7201"/>
    <w:rsid w:val="7E4FEFD2"/>
    <w:rsid w:val="7E5F5194"/>
    <w:rsid w:val="7E7D0847"/>
    <w:rsid w:val="7E7E7BA4"/>
    <w:rsid w:val="7E927FC5"/>
    <w:rsid w:val="7E9FCB01"/>
    <w:rsid w:val="7EAF218B"/>
    <w:rsid w:val="7EBF3279"/>
    <w:rsid w:val="7EC44641"/>
    <w:rsid w:val="7EFC2F04"/>
    <w:rsid w:val="7F232593"/>
    <w:rsid w:val="7F27C3CF"/>
    <w:rsid w:val="7F8FE040"/>
    <w:rsid w:val="7FBB3B8B"/>
    <w:rsid w:val="7FBFB747"/>
    <w:rsid w:val="7FC65FA0"/>
    <w:rsid w:val="7FCF706E"/>
    <w:rsid w:val="7FE9CDB1"/>
    <w:rsid w:val="7FEE7C61"/>
    <w:rsid w:val="7FF3733D"/>
    <w:rsid w:val="7FF7AB0B"/>
    <w:rsid w:val="7FF7B3E5"/>
    <w:rsid w:val="7FF91E29"/>
    <w:rsid w:val="7FF9C125"/>
    <w:rsid w:val="7FFB47A1"/>
    <w:rsid w:val="7FFB66E1"/>
    <w:rsid w:val="7FFB964B"/>
    <w:rsid w:val="7FFD8DA7"/>
    <w:rsid w:val="7FFF0C08"/>
    <w:rsid w:val="7FFFB7B4"/>
    <w:rsid w:val="7FFFDC83"/>
    <w:rsid w:val="81BF9134"/>
    <w:rsid w:val="83A4DCD3"/>
    <w:rsid w:val="8FE165C6"/>
    <w:rsid w:val="97FA5C52"/>
    <w:rsid w:val="98AE9B74"/>
    <w:rsid w:val="9B66EAD6"/>
    <w:rsid w:val="9D7B08DD"/>
    <w:rsid w:val="9DEE77F5"/>
    <w:rsid w:val="9F3BD76D"/>
    <w:rsid w:val="9FBD5151"/>
    <w:rsid w:val="9FBE017D"/>
    <w:rsid w:val="ABF53A0B"/>
    <w:rsid w:val="AD995801"/>
    <w:rsid w:val="AE5F4DAC"/>
    <w:rsid w:val="AFEFE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37995BAC-A291-45E1-8FFE-48FBBB38B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0"/>
    <w:next w:val="a0"/>
    <w:qFormat/>
    <w:rsid w:val="00893CB7"/>
    <w:pPr>
      <w:adjustRightInd w:val="0"/>
      <w:snapToGrid w:val="0"/>
      <w:spacing w:line="360" w:lineRule="auto"/>
      <w:jc w:val="left"/>
      <w:outlineLvl w:val="0"/>
    </w:pPr>
    <w:rPr>
      <w:rFonts w:ascii="黑体" w:eastAsia="黑体" w:hAnsi="黑体" w:cs="Times New Roman" w:hint="eastAsia"/>
      <w:kern w:val="44"/>
      <w:szCs w:val="48"/>
    </w:rPr>
  </w:style>
  <w:style w:type="paragraph" w:styleId="2">
    <w:name w:val="heading 2"/>
    <w:basedOn w:val="a0"/>
    <w:next w:val="a0"/>
    <w:unhideWhenUsed/>
    <w:qFormat/>
    <w:rsid w:val="00893CB7"/>
    <w:pPr>
      <w:adjustRightInd w:val="0"/>
      <w:snapToGrid w:val="0"/>
      <w:spacing w:line="360" w:lineRule="auto"/>
      <w:jc w:val="left"/>
      <w:outlineLvl w:val="1"/>
    </w:pPr>
    <w:rPr>
      <w:rFonts w:ascii="黑体" w:eastAsia="黑体" w:hAnsi="黑体" w:cs="Times New Roman" w:hint="eastAsia"/>
      <w:kern w:val="0"/>
      <w:szCs w:val="36"/>
    </w:rPr>
  </w:style>
  <w:style w:type="paragraph" w:styleId="3">
    <w:name w:val="heading 3"/>
    <w:basedOn w:val="a0"/>
    <w:next w:val="a0"/>
    <w:unhideWhenUsed/>
    <w:qFormat/>
    <w:rsid w:val="00893CB7"/>
    <w:pPr>
      <w:adjustRightInd w:val="0"/>
      <w:snapToGrid w:val="0"/>
      <w:spacing w:line="360" w:lineRule="auto"/>
      <w:jc w:val="left"/>
      <w:outlineLvl w:val="2"/>
    </w:pPr>
    <w:rPr>
      <w:rFonts w:ascii="黑体" w:eastAsia="黑体" w:hAnsi="黑体" w:cs="Times New Roman" w:hint="eastAsia"/>
      <w:kern w:val="0"/>
      <w:szCs w:val="27"/>
    </w:rPr>
  </w:style>
  <w:style w:type="paragraph" w:styleId="4">
    <w:name w:val="heading 4"/>
    <w:basedOn w:val="a0"/>
    <w:next w:val="a0"/>
    <w:link w:val="4Char"/>
    <w:unhideWhenUsed/>
    <w:qFormat/>
    <w:rsid w:val="00893CB7"/>
    <w:pPr>
      <w:keepNext/>
      <w:keepLines/>
      <w:adjustRightInd w:val="0"/>
      <w:snapToGrid w:val="0"/>
      <w:spacing w:line="360" w:lineRule="auto"/>
      <w:outlineLvl w:val="3"/>
    </w:pPr>
    <w:rPr>
      <w:rFonts w:ascii="黑体" w:eastAsia="黑体" w:hAnsi="黑体" w:cstheme="majorBidi"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qFormat/>
    <w:pPr>
      <w:jc w:val="left"/>
    </w:pPr>
  </w:style>
  <w:style w:type="paragraph" w:styleId="a5">
    <w:name w:val="Body Text"/>
    <w:basedOn w:val="a0"/>
    <w:uiPriority w:val="1"/>
    <w:qFormat/>
    <w:rPr>
      <w:rFonts w:ascii="宋体" w:eastAsia="宋体" w:hAnsi="宋体" w:cs="宋体"/>
      <w:szCs w:val="21"/>
    </w:rPr>
  </w:style>
  <w:style w:type="paragraph" w:styleId="a6">
    <w:name w:val="Balloon Text"/>
    <w:basedOn w:val="a0"/>
    <w:link w:val="Char"/>
    <w:qFormat/>
    <w:rPr>
      <w:sz w:val="18"/>
      <w:szCs w:val="18"/>
    </w:rPr>
  </w:style>
  <w:style w:type="paragraph" w:styleId="a7">
    <w:name w:val="footer"/>
    <w:basedOn w:val="a0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9">
    <w:name w:val="Table Grid"/>
    <w:basedOn w:val="a2"/>
    <w:qFormat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0"/>
    <w:qFormat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paragraph" w:customStyle="1" w:styleId="aa">
    <w:name w:val="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b">
    <w:name w:val="List Paragraph"/>
    <w:basedOn w:val="a0"/>
    <w:uiPriority w:val="1"/>
    <w:qFormat/>
    <w:pPr>
      <w:ind w:left="853" w:hanging="735"/>
    </w:pPr>
    <w:rPr>
      <w:rFonts w:ascii="黑体" w:eastAsia="黑体" w:hAnsi="黑体" w:cs="黑体"/>
    </w:rPr>
  </w:style>
  <w:style w:type="character" w:customStyle="1" w:styleId="Char">
    <w:name w:val="批注框文本 Char"/>
    <w:basedOn w:val="a1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标准文件_二级条标题"/>
    <w:next w:val="ac"/>
    <w:qFormat/>
    <w:pPr>
      <w:widowControl w:val="0"/>
      <w:numPr>
        <w:ilvl w:val="3"/>
        <w:numId w:val="1"/>
      </w:numPr>
      <w:spacing w:beforeLines="50" w:before="50" w:afterLines="50" w:after="50"/>
      <w:jc w:val="both"/>
      <w:outlineLvl w:val="2"/>
    </w:pPr>
    <w:rPr>
      <w:rFonts w:ascii="黑体" w:eastAsia="黑体"/>
      <w:sz w:val="21"/>
    </w:rPr>
  </w:style>
  <w:style w:type="paragraph" w:customStyle="1" w:styleId="ac">
    <w:name w:val="标准文件_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0">
    <w:name w:val="页脚 Char"/>
    <w:basedOn w:val="a1"/>
    <w:link w:val="a7"/>
    <w:uiPriority w:val="99"/>
    <w:qFormat/>
    <w:rPr>
      <w:rFonts w:asciiTheme="minorHAnsi" w:eastAsiaTheme="minorEastAsia" w:hAnsiTheme="minorHAnsi" w:cstheme="minorBidi"/>
      <w:kern w:val="2"/>
      <w:sz w:val="18"/>
      <w:szCs w:val="24"/>
    </w:rPr>
  </w:style>
  <w:style w:type="paragraph" w:customStyle="1" w:styleId="ad">
    <w:name w:val="章标题"/>
    <w:next w:val="aa"/>
    <w:qFormat/>
    <w:pPr>
      <w:jc w:val="both"/>
      <w:outlineLvl w:val="1"/>
    </w:pPr>
    <w:rPr>
      <w:rFonts w:ascii="黑体" w:eastAsia="黑体"/>
      <w:sz w:val="21"/>
    </w:rPr>
  </w:style>
  <w:style w:type="character" w:customStyle="1" w:styleId="4Char">
    <w:name w:val="标题 4 Char"/>
    <w:basedOn w:val="a1"/>
    <w:link w:val="4"/>
    <w:rsid w:val="00893CB7"/>
    <w:rPr>
      <w:rFonts w:ascii="黑体" w:eastAsia="黑体" w:hAnsi="黑体" w:cstheme="majorBidi"/>
      <w:bCs/>
      <w:kern w:val="2"/>
      <w:sz w:val="21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2B4FD7-F97E-4CA4-A664-0D0527028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10</Pages>
  <Words>897</Words>
  <Characters>5118</Characters>
  <Application>Microsoft Office Word</Application>
  <DocSecurity>0</DocSecurity>
  <Lines>42</Lines>
  <Paragraphs>12</Paragraphs>
  <ScaleCrop>false</ScaleCrop>
  <Company>Microsoft</Company>
  <LinksUpToDate>false</LinksUpToDate>
  <CharactersWithSpaces>6003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马雪</cp:lastModifiedBy>
  <cp:revision>23</cp:revision>
  <cp:lastPrinted>2024-09-08T16:42:00Z</cp:lastPrinted>
  <dcterms:created xsi:type="dcterms:W3CDTF">2024-05-29T08:21:00Z</dcterms:created>
  <dcterms:modified xsi:type="dcterms:W3CDTF">2026-04-28T07:26:00Z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3683ED3E69364CA9B35DA3643D66A365_13</vt:lpwstr>
  </property>
  <property fmtid="{D5CDD505-2E9C-101B-9397-08002B2CF9AE}" pid="4" name="KSOTemplateDocerSaveRecord">
    <vt:lpwstr>eyJoZGlkIjoiZmQ2ZjIxOWJmZmY2NTJkYzIyY2JiZmFjYzAxNmYzZGIiLCJ1c2VySWQiOiIzNTg0Njc5MjAifQ==</vt:lpwstr>
  </property>
</Properties>
</file>